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bookmarkStart w:id="0" w:name="_GoBack"/>
      <w:bookmarkEnd w:id="0"/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DESCRIPCIÓN GENERAL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El ADXL335 es un acelerómetro de 3 ejes </w:t>
      </w:r>
      <w:proofErr w:type="gramStart"/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completo pequeño, delgado</w:t>
      </w:r>
      <w:proofErr w:type="gramEnd"/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y de baja potencia</w:t>
      </w:r>
      <w:r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</w:t>
      </w: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con señal de salidas de voltaje condicionadas. El producto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proofErr w:type="gramStart"/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mide</w:t>
      </w:r>
      <w:proofErr w:type="gramEnd"/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la aceleración con un rango mínimo de escala completa de ± 3 g.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Puede medir la aceleración estática de la gravedad en la detección de inclinación</w:t>
      </w:r>
      <w:r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</w:t>
      </w: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aplicaciones, así como la aceleración dinámica resultante de</w:t>
      </w:r>
      <w:r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</w:t>
      </w: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movimiento, choque o vibración.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El usuario selecciona el ancho de banda del acelerómetro usando el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Condensadores CX, CY y CZ en los pines XOUT, YOUT y ZOUT.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Los anchos de banda se pueden seleccionar para adaptarse a la aplicación, con un</w:t>
      </w:r>
      <w:r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</w:t>
      </w: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rango de 0.5 Hz a 1600 Hz para los ejes X e Y, y un rango</w:t>
      </w:r>
      <w:r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</w:t>
      </w: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de 0.5 Hz a 550 Hz para el eje Z.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El ADXL335 está disponible en un pequeño y bajo perfil, 4 mm ×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28"/>
          <w:lang w:val="es-ES" w:eastAsia="es-AR"/>
        </w:rPr>
      </w:pP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Paquete de básculas de plástico con marco de plomo de 4 mm × 1.45 mm, 16 derivaciones</w:t>
      </w:r>
      <w:r>
        <w:rPr>
          <w:rFonts w:ascii="inherit" w:eastAsia="Times New Roman" w:hAnsi="inherit" w:cs="Courier New"/>
          <w:sz w:val="28"/>
          <w:szCs w:val="28"/>
          <w:lang w:val="es-ES" w:eastAsia="es-AR"/>
        </w:rPr>
        <w:t xml:space="preserve"> </w:t>
      </w:r>
      <w:r w:rsidRPr="00BD525D">
        <w:rPr>
          <w:rFonts w:ascii="inherit" w:eastAsia="Times New Roman" w:hAnsi="inherit" w:cs="Courier New"/>
          <w:sz w:val="28"/>
          <w:szCs w:val="28"/>
          <w:lang w:val="es-ES" w:eastAsia="es-AR"/>
        </w:rPr>
        <w:t>(LFCSP_LQ).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BD525D">
        <w:rPr>
          <w:rFonts w:ascii="Arial" w:hAnsi="Arial" w:cs="Arial"/>
          <w:sz w:val="28"/>
          <w:szCs w:val="28"/>
          <w:shd w:val="clear" w:color="auto" w:fill="FFFFFF"/>
        </w:rPr>
        <w:t xml:space="preserve">CARACTERISTICAS Detección de 3 ejes Paquete pequeño y de perfil bajo 4 mm × 4 mm × 1,45 mm LFCSP Baja potencia: 350 </w:t>
      </w:r>
      <w:proofErr w:type="spellStart"/>
      <w:r w:rsidRPr="00BD525D">
        <w:rPr>
          <w:rFonts w:ascii="Arial" w:hAnsi="Arial" w:cs="Arial"/>
          <w:sz w:val="28"/>
          <w:szCs w:val="28"/>
          <w:shd w:val="clear" w:color="auto" w:fill="FFFFFF"/>
        </w:rPr>
        <w:t>μA</w:t>
      </w:r>
      <w:proofErr w:type="spellEnd"/>
      <w:r w:rsidRPr="00BD525D">
        <w:rPr>
          <w:rFonts w:ascii="Arial" w:hAnsi="Arial" w:cs="Arial"/>
          <w:sz w:val="28"/>
          <w:szCs w:val="28"/>
          <w:shd w:val="clear" w:color="auto" w:fill="FFFFFF"/>
        </w:rPr>
        <w:t xml:space="preserve"> (típico) Operación de suministro único: 1.8 V a 3.6 V 10,000 g de supervivencia de choque Excelente estabilidad de temperatura Ajuste de BW con un solo condensador por eje </w:t>
      </w:r>
      <w:proofErr w:type="spellStart"/>
      <w:r w:rsidRPr="00BD525D">
        <w:rPr>
          <w:rFonts w:ascii="Arial" w:hAnsi="Arial" w:cs="Arial"/>
          <w:sz w:val="28"/>
          <w:szCs w:val="28"/>
          <w:shd w:val="clear" w:color="auto" w:fill="FFFFFF"/>
        </w:rPr>
        <w:t>RoHS</w:t>
      </w:r>
      <w:proofErr w:type="spellEnd"/>
      <w:r w:rsidRPr="00BD525D">
        <w:rPr>
          <w:rFonts w:ascii="Arial" w:hAnsi="Arial" w:cs="Arial"/>
          <w:sz w:val="28"/>
          <w:szCs w:val="28"/>
          <w:shd w:val="clear" w:color="auto" w:fill="FFFFFF"/>
        </w:rPr>
        <w:t xml:space="preserve"> / WEEE sin plomo obediente </w:t>
      </w:r>
    </w:p>
    <w:p w:rsidR="00BD525D" w:rsidRPr="00BD525D" w:rsidRDefault="00BD525D" w:rsidP="00BD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eastAsia="es-AR"/>
        </w:rPr>
      </w:pPr>
      <w:r w:rsidRPr="00BD525D">
        <w:rPr>
          <w:rFonts w:ascii="Arial" w:hAnsi="Arial" w:cs="Arial"/>
          <w:sz w:val="28"/>
          <w:szCs w:val="28"/>
          <w:shd w:val="clear" w:color="auto" w:fill="FFFFFF"/>
        </w:rPr>
        <w:t>APLICACIONES Sensible a los costes, baja potencia, movimiento e inclinación de detección aplicaciones Dispositivos móviles Sistemas de juego Protección de la unidad de disco Estabilización de imagen Dispositivos deportivos y de salud</w:t>
      </w:r>
    </w:p>
    <w:p w:rsidR="00BD525D" w:rsidRDefault="00BD525D" w:rsidP="00BD525D">
      <w:pPr>
        <w:pStyle w:val="HTMLconformatoprevio"/>
        <w:shd w:val="clear" w:color="auto" w:fill="FFFFFF"/>
        <w:rPr>
          <w:rFonts w:ascii="inherit" w:hAnsi="inherit"/>
          <w:color w:val="212121"/>
          <w:sz w:val="44"/>
          <w:szCs w:val="44"/>
          <w:lang w:val="es-ES"/>
        </w:rPr>
      </w:pPr>
      <w:r w:rsidRPr="00BD525D">
        <w:rPr>
          <w:rFonts w:ascii="inherit" w:hAnsi="inherit"/>
          <w:color w:val="212121"/>
          <w:sz w:val="44"/>
          <w:szCs w:val="44"/>
          <w:lang w:val="es-ES"/>
        </w:rPr>
        <w:t>DIAGRAMA DE BLOQUES FUNCIONAL</w:t>
      </w:r>
    </w:p>
    <w:p w:rsidR="00BD525D" w:rsidRDefault="00BD525D" w:rsidP="00BD525D">
      <w:pPr>
        <w:pStyle w:val="HTMLconformatoprevio"/>
        <w:shd w:val="clear" w:color="auto" w:fill="FFFFFF"/>
        <w:rPr>
          <w:rFonts w:ascii="inherit" w:hAnsi="inherit"/>
          <w:color w:val="212121"/>
          <w:sz w:val="44"/>
          <w:szCs w:val="44"/>
        </w:rPr>
      </w:pPr>
      <w:r>
        <w:rPr>
          <w:rFonts w:ascii="inherit" w:hAnsi="inherit"/>
          <w:noProof/>
          <w:color w:val="212121"/>
          <w:sz w:val="44"/>
          <w:szCs w:val="44"/>
        </w:rPr>
        <w:drawing>
          <wp:inline distT="0" distB="0" distL="0" distR="0">
            <wp:extent cx="46101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DA" w:rsidRDefault="00C50BDA" w:rsidP="00BD525D">
      <w:pPr>
        <w:pStyle w:val="HTMLconformatoprevio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</w:p>
    <w:p w:rsidR="00C50BDA" w:rsidRPr="00C50BDA" w:rsidRDefault="00C50BDA" w:rsidP="00BD525D">
      <w:pPr>
        <w:pStyle w:val="HTMLconformatoprevio"/>
        <w:shd w:val="clear" w:color="auto" w:fill="FFFFFF"/>
        <w:rPr>
          <w:rFonts w:ascii="Arial" w:hAnsi="Arial" w:cs="Arial"/>
          <w:color w:val="212121"/>
          <w:sz w:val="40"/>
          <w:szCs w:val="40"/>
          <w:shd w:val="clear" w:color="auto" w:fill="FFFFFF"/>
        </w:rPr>
      </w:pPr>
      <w:r w:rsidRPr="00C50BDA">
        <w:rPr>
          <w:rFonts w:ascii="Arial" w:hAnsi="Arial" w:cs="Arial"/>
          <w:color w:val="212121"/>
          <w:sz w:val="40"/>
          <w:szCs w:val="40"/>
          <w:shd w:val="clear" w:color="auto" w:fill="FFFFFF"/>
        </w:rPr>
        <w:lastRenderedPageBreak/>
        <w:t>TEORÍA DE OPERACIÓN</w:t>
      </w:r>
    </w:p>
    <w:p w:rsidR="00C50BDA" w:rsidRPr="00BD525D" w:rsidRDefault="00C50BDA" w:rsidP="00BD525D">
      <w:pPr>
        <w:pStyle w:val="HTMLconformatoprevio"/>
        <w:shd w:val="clear" w:color="auto" w:fill="FFFFFF"/>
        <w:rPr>
          <w:rFonts w:ascii="inherit" w:hAnsi="inherit"/>
          <w:color w:val="212121"/>
          <w:sz w:val="44"/>
          <w:szCs w:val="4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El ADXL335 es una medición completa de aceleración de 3 ejes sistema. El ADXL335 tiene un rango de medición de ± 3 g como mínimo. Contiene un sensor </w:t>
      </w:r>
      <w:proofErr w:type="spellStart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>micromecanizado</w:t>
      </w:r>
      <w:proofErr w:type="spellEnd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de superficie de </w:t>
      </w:r>
      <w:proofErr w:type="spellStart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>polisilicio</w:t>
      </w:r>
      <w:proofErr w:type="spellEnd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y circuitos de acondicionamiento de señales para implementar un circuito abierto arquitectura de medición de aceleración. Las señales de salida son voltajes analógicos que son proporcionales a la aceleración. </w:t>
      </w:r>
      <w:proofErr w:type="gramStart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>los</w:t>
      </w:r>
      <w:proofErr w:type="gramEnd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acelerómetro puede medir la aceleración estática de la gravedad en aplicaciones de detección de inclinación y aceleración dinámica resultante de movimiento, choque o vibración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A65B7F" w:rsidRDefault="00C50BDA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El sensor es una estructura de superficie de </w:t>
      </w:r>
      <w:proofErr w:type="spellStart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>polisilicio</w:t>
      </w:r>
      <w:proofErr w:type="spellEnd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>micromecanizado</w:t>
      </w:r>
      <w:proofErr w:type="spellEnd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construido sobre una oblea de silicio. Los resortes de </w:t>
      </w:r>
      <w:proofErr w:type="spellStart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>polisilicio</w:t>
      </w:r>
      <w:proofErr w:type="spellEnd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suspenden estructura sobre la superficie de la oblea y proporcionar una resistencia contra las fuerzas de aceleración. La deflexión de la estructura se mide usando un condensador diferencial que consiste en independiente placas fijas y placas unidas a la masa en movimiento. El fijo las placas son impulsadas por ondas cuadradas fuera de fase de 180 °. Aceleración desvía la masa en movimiento y desequilibra el condensador diferencial lo que resulta en una salida de sensor cuya amplitud es proporcional a aceleración. Las técnicas de demodulación sensibles a la fase son entonces utilizado para determinar la magnitud y dirección </w:t>
      </w:r>
      <w:proofErr w:type="gramStart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>del</w:t>
      </w:r>
      <w:proofErr w:type="gramEnd"/>
      <w:r w:rsidRPr="00C50BD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aceleración.</w:t>
      </w:r>
    </w:p>
    <w:p w:rsidR="00357829" w:rsidRPr="00357829" w:rsidRDefault="00357829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La salida del demodulador se amplifica y trae fuera de chip a través de una resistencia de 32 </w:t>
      </w:r>
      <w:proofErr w:type="spellStart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>kΩ</w:t>
      </w:r>
      <w:proofErr w:type="spellEnd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El usuario luego establece la señal ancho de banda del dispositivo mediante la adición de un condensador. Este filtrado mejora la resolución de la medición y ayuda a prevenir el </w:t>
      </w:r>
      <w:proofErr w:type="spellStart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>aliasing</w:t>
      </w:r>
      <w:proofErr w:type="spellEnd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</w:t>
      </w:r>
    </w:p>
    <w:p w:rsidR="00357829" w:rsidRPr="00357829" w:rsidRDefault="00357829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SENSOR MECÁNICO </w:t>
      </w:r>
    </w:p>
    <w:p w:rsidR="00357829" w:rsidRPr="00357829" w:rsidRDefault="00357829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El ADXL335 usa una estructura única para detectar X, Y </w:t>
      </w:r>
      <w:proofErr w:type="spellStart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>y</w:t>
      </w:r>
      <w:proofErr w:type="spellEnd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Hachas Z Como resultado, las direcciones de los sentidos de los tres ejes son altamente ortogonal y tienen poca sensibilidad en el eje transversal. Mecánico la desalineación de la matriz del sensor al paquete es el jefe </w:t>
      </w:r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lastRenderedPageBreak/>
        <w:t>fuente de sensibilidad de eje transversal. Desalineación mecánica puede, por supuesto, calibrarse a nivel del sistema.</w:t>
      </w:r>
    </w:p>
    <w:p w:rsidR="00357829" w:rsidRPr="00357829" w:rsidRDefault="00357829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ACTUACIÓN</w:t>
      </w:r>
    </w:p>
    <w:p w:rsidR="00357829" w:rsidRPr="00357829" w:rsidRDefault="00357829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En lugar de utilizar un circuito de compensación de temperatura adicional, Las técnicas de diseño innovadoras aseguran un alto rendimiento está integrado en el ADXL335. Como resultado, no hay cuantificación error o comportamiento no </w:t>
      </w:r>
      <w:proofErr w:type="spellStart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>monotónico</w:t>
      </w:r>
      <w:proofErr w:type="spellEnd"/>
      <w:r w:rsidRPr="00357829">
        <w:rPr>
          <w:rFonts w:ascii="Arial" w:hAnsi="Arial" w:cs="Arial"/>
          <w:color w:val="212121"/>
          <w:sz w:val="28"/>
          <w:szCs w:val="28"/>
          <w:shd w:val="clear" w:color="auto" w:fill="FFFFFF"/>
        </w:rPr>
        <w:t>, e histéresis de temperatura es muy bajo (típicamente menos de 3 mg sobre -25 ° C a + 70 ° C rango de temperatura)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NFORMACIÓN DE APLICACIONES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DESACOPLAMIENTO DE LA FUENTE DE ALIMENTACIÓN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Para la mayoría de las aplicaciones, un solo conde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nsador de 0.1 </w:t>
      </w:r>
      <w:proofErr w:type="spellStart"/>
      <w:r>
        <w:rPr>
          <w:rFonts w:ascii="inherit" w:hAnsi="inherit"/>
          <w:color w:val="212121"/>
          <w:sz w:val="28"/>
          <w:szCs w:val="28"/>
          <w:lang w:val="es-ES"/>
        </w:rPr>
        <w:t>μF</w:t>
      </w:r>
      <w:proofErr w:type="spellEnd"/>
      <w:r>
        <w:rPr>
          <w:rFonts w:ascii="inherit" w:hAnsi="inherit"/>
          <w:color w:val="212121"/>
          <w:sz w:val="28"/>
          <w:szCs w:val="28"/>
          <w:lang w:val="es-ES"/>
        </w:rPr>
        <w:t xml:space="preserve">, CDC, colocado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cerca de los pines de suministro ADX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L335 se desacopla adecuadamente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acelerómetro del ruido en la fuente d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e alimentación. Sin embargo, en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aplicaciones donde el ruido está presente en el reloj in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terno de 50 kHz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frecuencia (o cualquier armónico del mismo)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, cuidado adicional en el poder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se requiere derivación de suministro porque 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este ruido puede causar errores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e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n la medición de la aceleración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Si se necesita desacoplamiento adicional, una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 resistencia de 100 Ω (o menor)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o el cordón de ferrita se puede insertar en la 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línea de suministro. Además, un Se puede agregar un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condensador de derivación a gr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anel más grande (1 </w:t>
      </w:r>
      <w:proofErr w:type="spellStart"/>
      <w:r>
        <w:rPr>
          <w:rFonts w:ascii="inherit" w:hAnsi="inherit"/>
          <w:color w:val="212121"/>
          <w:sz w:val="28"/>
          <w:szCs w:val="28"/>
          <w:lang w:val="es-ES"/>
        </w:rPr>
        <w:t>μF</w:t>
      </w:r>
      <w:proofErr w:type="spellEnd"/>
      <w:r>
        <w:rPr>
          <w:rFonts w:ascii="inherit" w:hAnsi="inherit"/>
          <w:color w:val="212121"/>
          <w:sz w:val="28"/>
          <w:szCs w:val="28"/>
          <w:lang w:val="es-ES"/>
        </w:rPr>
        <w:t xml:space="preserve"> o más) en paralelo a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CDC. Asegúrese de q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ue la conexión desde el ADXL335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tierra a la tierra de la fuente de alimentaci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ón es de baja impedancia porque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el ruido transmitido a través del suelo t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iene un efecto similar al ruido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transmitido a través de VS.</w:t>
      </w:r>
    </w:p>
    <w:p w:rsid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CONFIGURACIÓN DEL ANCHO DE BANDA MEDIANTE CX, CY Y CZ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>
        <w:rPr>
          <w:rFonts w:ascii="inherit" w:hAnsi="inherit"/>
          <w:color w:val="212121"/>
          <w:sz w:val="28"/>
          <w:szCs w:val="28"/>
          <w:lang w:val="es-ES"/>
        </w:rPr>
        <w:t xml:space="preserve"> 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El ADXL335 tiene disposiciones para limitar la banda de XOUT, YOUT,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y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ZOUT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pins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. Se deben agregar condensadores 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en estos pines para implementar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filtro de paso bajo para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antialiasing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y reducción de ruido. </w:t>
      </w: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los</w:t>
      </w:r>
      <w:proofErr w:type="gramEnd"/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la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ecuación para el ancho de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 banda de 3 dB es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F-3 dB =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 1 / (2π (32 </w:t>
      </w:r>
      <w:proofErr w:type="spellStart"/>
      <w:r>
        <w:rPr>
          <w:rFonts w:ascii="inherit" w:hAnsi="inherit"/>
          <w:color w:val="212121"/>
          <w:sz w:val="28"/>
          <w:szCs w:val="28"/>
          <w:lang w:val="es-ES"/>
        </w:rPr>
        <w:t>kΩ</w:t>
      </w:r>
      <w:proofErr w:type="spellEnd"/>
      <w:r>
        <w:rPr>
          <w:rFonts w:ascii="inherit" w:hAnsi="inherit"/>
          <w:color w:val="212121"/>
          <w:sz w:val="28"/>
          <w:szCs w:val="28"/>
          <w:lang w:val="es-ES"/>
        </w:rPr>
        <w:t xml:space="preserve">) × C (X, Y, Z)) o más simplemente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F-3 dB = 5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μF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/ C (X, Y, Z)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La tolerancia de la resistencia interna (RFILT) típicamente varía como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tanto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como ± 15% de su valor nominal (32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kΩ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>), y el ancho de banda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varía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en consecuencia. Una capacitancia mínima de 0.0047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μF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para CX,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CY y CZ se recomiendan en todos los casos.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Tabla 4. Selección de condensadores de filtro, CX, CY y CZ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Condensador de ancho de banda (Hz) (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μF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>)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lastRenderedPageBreak/>
        <w:t>1 4.7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10 0.47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50 0.10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100 0.05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200 0.027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500 0.01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AUTOTEST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El pin ST controla la función de autocomprobación. </w:t>
      </w:r>
      <w:r>
        <w:rPr>
          <w:rFonts w:ascii="inherit" w:hAnsi="inherit"/>
          <w:color w:val="212121"/>
          <w:sz w:val="28"/>
          <w:szCs w:val="28"/>
          <w:lang w:val="es-ES"/>
        </w:rPr>
        <w:t xml:space="preserve">Cuando este pin se establece en </w:t>
      </w:r>
      <w:r w:rsidRPr="00357829">
        <w:rPr>
          <w:rFonts w:ascii="inherit" w:hAnsi="inherit"/>
          <w:color w:val="212121"/>
          <w:sz w:val="28"/>
          <w:szCs w:val="28"/>
          <w:lang w:val="es-ES"/>
        </w:rPr>
        <w:t>VS, se ejerce una fuerza electrostática sobre el haz del acelerómetro.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El movimiento resultante de la viga permite al usuario probar si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el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acelerómetro es funcional. El cambio típico en la salida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es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-1.08 g (que corresponde a -325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mV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>) en el eje X, +1.08 g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(</w:t>
      </w: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o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+325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mV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) en el eje Y, y +1.83 g (o +550 </w:t>
      </w:r>
      <w:proofErr w:type="spellStart"/>
      <w:r w:rsidRPr="00357829">
        <w:rPr>
          <w:rFonts w:ascii="inherit" w:hAnsi="inherit"/>
          <w:color w:val="212121"/>
          <w:sz w:val="28"/>
          <w:szCs w:val="28"/>
          <w:lang w:val="es-ES"/>
        </w:rPr>
        <w:t>mV</w:t>
      </w:r>
      <w:proofErr w:type="spellEnd"/>
      <w:r w:rsidRPr="00357829">
        <w:rPr>
          <w:rFonts w:ascii="inherit" w:hAnsi="inherit"/>
          <w:color w:val="212121"/>
          <w:sz w:val="28"/>
          <w:szCs w:val="28"/>
          <w:lang w:val="es-ES"/>
        </w:rPr>
        <w:t>) en el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357829">
        <w:rPr>
          <w:rFonts w:ascii="inherit" w:hAnsi="inherit"/>
          <w:color w:val="212121"/>
          <w:sz w:val="28"/>
          <w:szCs w:val="28"/>
          <w:lang w:val="es-ES"/>
        </w:rPr>
        <w:t>Eje Z. Este pin ST se puede dejar en circuito abierto o conectado a</w:t>
      </w:r>
    </w:p>
    <w:p w:rsidR="00357829" w:rsidRPr="00357829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proofErr w:type="gramStart"/>
      <w:r w:rsidRPr="00357829">
        <w:rPr>
          <w:rFonts w:ascii="inherit" w:hAnsi="inherit"/>
          <w:color w:val="212121"/>
          <w:sz w:val="28"/>
          <w:szCs w:val="28"/>
          <w:lang w:val="es-ES"/>
        </w:rPr>
        <w:t>común</w:t>
      </w:r>
      <w:proofErr w:type="gramEnd"/>
      <w:r w:rsidRPr="00357829">
        <w:rPr>
          <w:rFonts w:ascii="inherit" w:hAnsi="inherit"/>
          <w:color w:val="212121"/>
          <w:sz w:val="28"/>
          <w:szCs w:val="28"/>
          <w:lang w:val="es-ES"/>
        </w:rPr>
        <w:t xml:space="preserve"> (COM) en uso normal.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Nunca exponga el pin ST a tensiones superiores a VS + 0,3 V.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Si esto no puede garantizarse debido al diseño del sistema (para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D127EF">
        <w:rPr>
          <w:rFonts w:ascii="inherit" w:hAnsi="inherit"/>
          <w:color w:val="212121"/>
          <w:sz w:val="28"/>
          <w:szCs w:val="28"/>
          <w:lang w:val="es-ES"/>
        </w:rPr>
        <w:t>ejemplo</w:t>
      </w:r>
      <w:proofErr w:type="gramEnd"/>
      <w:r w:rsidRPr="00D127EF">
        <w:rPr>
          <w:rFonts w:ascii="inherit" w:hAnsi="inherit"/>
          <w:color w:val="212121"/>
          <w:sz w:val="28"/>
          <w:szCs w:val="28"/>
          <w:lang w:val="es-ES"/>
        </w:rPr>
        <w:t>, si hay múltiples voltajes de suministro), entonces un bajo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Se recomienda el diodo de sujeción VF entre ST y VS.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DISEÑO DE COMERCIALES PARA SELECCIONAR FILTRO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CARACTERÍSTICAS: EL RUIDO / BW TRADE-OFF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El ancho de banda del acelerómetro seleccionad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o determina en última instancia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la resolución de medición (la aceleración detectable más pequeña).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El filtrado se puede utilizar para reducir el ruido de fon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do para mejorar la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resolución del aceleró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>metro. La resolución depende de, e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l ancho de banda del filtro analógico en XOUT, YOUT y ZOUT.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La salida del ADXL335 tiene un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 ancho de banda típico de mayor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de 500 Hz. El usuario debe filtrar la señal en este punto pa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ra limitar los errores de </w:t>
      </w:r>
      <w:proofErr w:type="spellStart"/>
      <w:r w:rsidRPr="00D127EF">
        <w:rPr>
          <w:rFonts w:ascii="inherit" w:hAnsi="inherit"/>
          <w:color w:val="212121"/>
          <w:sz w:val="28"/>
          <w:szCs w:val="28"/>
          <w:lang w:val="es-ES"/>
        </w:rPr>
        <w:t>aliasing</w:t>
      </w:r>
      <w:proofErr w:type="spellEnd"/>
      <w:r w:rsidRPr="00D127EF">
        <w:rPr>
          <w:rFonts w:ascii="inherit" w:hAnsi="inherit"/>
          <w:color w:val="212121"/>
          <w:sz w:val="28"/>
          <w:szCs w:val="28"/>
          <w:lang w:val="es-ES"/>
        </w:rPr>
        <w:t xml:space="preserve">. El ancho de 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banda analógico no debe ser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más de la mitad de la frecuencia de muestreo ana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lógico </w:t>
      </w:r>
      <w:proofErr w:type="spellStart"/>
      <w:r w:rsidR="00D127EF">
        <w:rPr>
          <w:rFonts w:ascii="inherit" w:hAnsi="inherit"/>
          <w:color w:val="212121"/>
          <w:sz w:val="28"/>
          <w:szCs w:val="28"/>
          <w:lang w:val="es-ES"/>
        </w:rPr>
        <w:t>a</w:t>
      </w:r>
      <w:proofErr w:type="spellEnd"/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 digital para minimizar </w:t>
      </w:r>
      <w:proofErr w:type="spellStart"/>
      <w:r w:rsidRPr="00D127EF">
        <w:rPr>
          <w:rFonts w:ascii="inherit" w:hAnsi="inherit"/>
          <w:color w:val="212121"/>
          <w:sz w:val="28"/>
          <w:szCs w:val="28"/>
          <w:lang w:val="es-ES"/>
        </w:rPr>
        <w:t>aliasing</w:t>
      </w:r>
      <w:proofErr w:type="spellEnd"/>
      <w:r w:rsidRPr="00D127EF">
        <w:rPr>
          <w:rFonts w:ascii="inherit" w:hAnsi="inherit"/>
          <w:color w:val="212121"/>
          <w:sz w:val="28"/>
          <w:szCs w:val="28"/>
          <w:lang w:val="es-ES"/>
        </w:rPr>
        <w:t>. El ancho de banda anal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ógico puede reducirse aún más a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reducir el ruido y mejorar la resolución.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>El ruido ADXL335 tiene las cara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cterísticas de gaussiano blanco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ruido, que contribuye por igua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l en todas las frecuencias y es descrito en términos de </w:t>
      </w:r>
      <w:proofErr w:type="spellStart"/>
      <w:r w:rsidR="00D127EF">
        <w:rPr>
          <w:rFonts w:ascii="inherit" w:hAnsi="inherit"/>
          <w:color w:val="212121"/>
          <w:sz w:val="28"/>
          <w:szCs w:val="28"/>
          <w:lang w:val="es-ES"/>
        </w:rPr>
        <w:t>μg</w:t>
      </w:r>
      <w:proofErr w:type="spellEnd"/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 /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√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Hz (el ruido es proporcional al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raíz cuadrada del ancho de banda del ac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elerómetro). El usuario debería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 xml:space="preserve">limitar el ancho de banda a la frecuencia más 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baja que necesita la aplicación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para maximizar la re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solución y el rango dinámico de </w:t>
      </w:r>
      <w:r w:rsidRPr="00D127EF">
        <w:rPr>
          <w:rFonts w:ascii="inherit" w:hAnsi="inherit"/>
          <w:color w:val="212121"/>
          <w:sz w:val="28"/>
          <w:szCs w:val="28"/>
          <w:lang w:val="es-ES"/>
        </w:rPr>
        <w:t>acelerómetro.</w:t>
      </w:r>
    </w:p>
    <w:p w:rsidR="00357829" w:rsidRPr="00D127EF" w:rsidRDefault="00357829" w:rsidP="00357829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lang w:val="es-ES"/>
        </w:rPr>
        <w:t xml:space="preserve">Con la característica </w:t>
      </w:r>
      <w:proofErr w:type="spellStart"/>
      <w:r w:rsidRPr="00D127EF">
        <w:rPr>
          <w:rFonts w:ascii="inherit" w:hAnsi="inherit"/>
          <w:color w:val="212121"/>
          <w:sz w:val="28"/>
          <w:szCs w:val="28"/>
          <w:lang w:val="es-ES"/>
        </w:rPr>
        <w:t>monopolo</w:t>
      </w:r>
      <w:proofErr w:type="spellEnd"/>
      <w:r w:rsidRPr="00D127EF">
        <w:rPr>
          <w:rFonts w:ascii="inherit" w:hAnsi="inherit"/>
          <w:color w:val="212121"/>
          <w:sz w:val="28"/>
          <w:szCs w:val="28"/>
          <w:lang w:val="es-ES"/>
        </w:rPr>
        <w:t>, atenuación gradual, el ruido típico de</w:t>
      </w:r>
    </w:p>
    <w:p w:rsidR="00D127EF" w:rsidRPr="005D3B85" w:rsidRDefault="00357829" w:rsidP="00D127EF">
      <w:pPr>
        <w:pStyle w:val="HTMLconformatoprevio"/>
        <w:shd w:val="clear" w:color="auto" w:fill="FFFFFF"/>
        <w:rPr>
          <w:rFonts w:ascii="inherit" w:hAnsi="inherit"/>
          <w:color w:val="212121"/>
          <w:u w:val="single"/>
        </w:rPr>
      </w:pPr>
      <w:proofErr w:type="gramStart"/>
      <w:r w:rsidRPr="00D127EF">
        <w:rPr>
          <w:rFonts w:ascii="inherit" w:hAnsi="inherit"/>
          <w:color w:val="212121"/>
          <w:sz w:val="28"/>
          <w:szCs w:val="28"/>
          <w:lang w:val="es-ES"/>
        </w:rPr>
        <w:lastRenderedPageBreak/>
        <w:t>el</w:t>
      </w:r>
      <w:proofErr w:type="gramEnd"/>
      <w:r w:rsidRPr="00D127EF">
        <w:rPr>
          <w:rFonts w:ascii="inherit" w:hAnsi="inherit"/>
          <w:color w:val="212121"/>
          <w:sz w:val="28"/>
          <w:szCs w:val="28"/>
          <w:lang w:val="es-ES"/>
        </w:rPr>
        <w:t xml:space="preserve"> ADXL335 está determinado por</w:t>
      </w:r>
      <w:r w:rsidR="00D127EF">
        <w:rPr>
          <w:rFonts w:ascii="inherit" w:hAnsi="inherit"/>
          <w:color w:val="212121"/>
          <w:sz w:val="28"/>
          <w:szCs w:val="28"/>
          <w:lang w:val="es-ES"/>
        </w:rPr>
        <w:t xml:space="preserve">: </w:t>
      </w:r>
    </w:p>
    <w:p w:rsidR="005D3B85" w:rsidRDefault="005D3B85" w:rsidP="00D127EF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u w:val="single"/>
          <w:lang w:val="es-ES"/>
        </w:rPr>
      </w:pPr>
      <w:r>
        <w:rPr>
          <w:rFonts w:ascii="inherit" w:hAnsi="inherit"/>
          <w:noProof/>
          <w:color w:val="212121"/>
          <w:sz w:val="28"/>
          <w:szCs w:val="28"/>
        </w:rPr>
        <w:drawing>
          <wp:inline distT="0" distB="0" distL="0" distR="0" wp14:anchorId="3ABD45D2" wp14:editId="0A2C64B5">
            <wp:extent cx="2886071" cy="514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44" cy="52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85" w:rsidRPr="005D3B85" w:rsidRDefault="005D3B85" w:rsidP="005D3B85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r w:rsidRPr="005D3B85">
        <w:rPr>
          <w:rFonts w:ascii="inherit" w:hAnsi="inherit"/>
          <w:color w:val="212121"/>
          <w:sz w:val="28"/>
          <w:szCs w:val="28"/>
          <w:lang w:val="es-ES"/>
        </w:rPr>
        <w:t>A menudo es útil conocer el valor máximo del ruido. Pico a pico</w:t>
      </w:r>
    </w:p>
    <w:p w:rsidR="005D3B85" w:rsidRDefault="005D3B85" w:rsidP="005D3B85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lang w:val="es-ES"/>
        </w:rPr>
      </w:pPr>
      <w:proofErr w:type="gramStart"/>
      <w:r w:rsidRPr="005D3B85">
        <w:rPr>
          <w:rFonts w:ascii="inherit" w:hAnsi="inherit"/>
          <w:color w:val="212121"/>
          <w:sz w:val="28"/>
          <w:szCs w:val="28"/>
          <w:lang w:val="es-ES"/>
        </w:rPr>
        <w:t>el</w:t>
      </w:r>
      <w:proofErr w:type="gramEnd"/>
      <w:r w:rsidRPr="005D3B85">
        <w:rPr>
          <w:rFonts w:ascii="inherit" w:hAnsi="inherit"/>
          <w:color w:val="212121"/>
          <w:sz w:val="28"/>
          <w:szCs w:val="28"/>
          <w:lang w:val="es-ES"/>
        </w:rPr>
        <w:t xml:space="preserve"> ruido solo puede estimarse por métodos estadísticos.</w:t>
      </w:r>
    </w:p>
    <w:p w:rsidR="005D3B85" w:rsidRPr="005D3B85" w:rsidRDefault="005D3B85" w:rsidP="005D3B85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D127EF" w:rsidRPr="000931FB" w:rsidRDefault="00D127EF" w:rsidP="000931FB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  <w:u w:val="single"/>
          <w:lang w:val="es-ES"/>
        </w:rPr>
      </w:pPr>
      <w:r w:rsidRPr="00D127EF">
        <w:rPr>
          <w:rFonts w:ascii="inherit" w:hAnsi="inherit"/>
          <w:color w:val="212121"/>
          <w:sz w:val="28"/>
          <w:szCs w:val="28"/>
          <w:u w:val="single"/>
          <w:lang w:val="es-ES"/>
        </w:rPr>
        <w:br w:type="page"/>
      </w:r>
    </w:p>
    <w:p w:rsidR="00357829" w:rsidRPr="00C50BDA" w:rsidRDefault="00357829">
      <w:pPr>
        <w:rPr>
          <w:sz w:val="28"/>
          <w:szCs w:val="28"/>
        </w:rPr>
      </w:pPr>
    </w:p>
    <w:sectPr w:rsidR="00357829" w:rsidRPr="00C50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48"/>
    <w:rsid w:val="000931FB"/>
    <w:rsid w:val="00357829"/>
    <w:rsid w:val="00466B38"/>
    <w:rsid w:val="005D3B85"/>
    <w:rsid w:val="00621463"/>
    <w:rsid w:val="00751B48"/>
    <w:rsid w:val="00A65B7F"/>
    <w:rsid w:val="00BD525D"/>
    <w:rsid w:val="00C50BDA"/>
    <w:rsid w:val="00D1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16E9B-F65B-4F0B-9677-A880412C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D5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D525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00603-D091-4D0B-AA54-BFFA0FE7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1219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Melgarejo</cp:lastModifiedBy>
  <cp:revision>2</cp:revision>
  <dcterms:created xsi:type="dcterms:W3CDTF">2018-10-22T18:40:00Z</dcterms:created>
  <dcterms:modified xsi:type="dcterms:W3CDTF">2018-10-22T18:40:00Z</dcterms:modified>
</cp:coreProperties>
</file>