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82" w:rsidRPr="006D7E82" w:rsidRDefault="006D7E82" w:rsidP="006D7E82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44"/>
          <w:szCs w:val="44"/>
          <w:lang w:eastAsia="es-AR"/>
        </w:rPr>
      </w:pPr>
      <w:bookmarkStart w:id="0" w:name="_GoBack"/>
      <w:bookmarkEnd w:id="0"/>
      <w:r>
        <w:rPr>
          <w:rFonts w:ascii="Verdana" w:eastAsia="Times New Roman" w:hAnsi="Verdana" w:cs="Times New Roman"/>
          <w:sz w:val="44"/>
          <w:szCs w:val="44"/>
          <w:lang w:eastAsia="es-AR"/>
        </w:rPr>
        <w:t>L293DNE</w:t>
      </w:r>
    </w:p>
    <w:p w:rsidR="006D7E82" w:rsidRDefault="006D7E82" w:rsidP="00172A7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</w:p>
    <w:p w:rsidR="00172A7A" w:rsidRPr="00172A7A" w:rsidRDefault="00172A7A" w:rsidP="00172A7A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 xml:space="preserve">El L293DNE es un controlador </w:t>
      </w:r>
      <w:proofErr w:type="spellStart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semi</w:t>
      </w:r>
      <w:proofErr w:type="spellEnd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 xml:space="preserve">-H cuádruple de alta corriente. El L293DNE está diseñado para proporcionar corriente de accionamiento bidireccional de hasta 600mA a tensiones entre 4,5V y 36V. Este dispositivo está diseñado para impulsar cargas inductivas como relés, solenoides, </w:t>
      </w:r>
      <w:proofErr w:type="gramStart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motores paso</w:t>
      </w:r>
      <w:proofErr w:type="gramEnd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 xml:space="preserve"> a paso DC y bipolares, así como cualquier otra carga de alta corriente/alta tensión en aplicaciones de alimentación positiva. Todas las entradas son compatibles con TTL. Cada salida es un circuito de control </w:t>
      </w:r>
      <w:proofErr w:type="spellStart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push-pull</w:t>
      </w:r>
      <w:proofErr w:type="spellEnd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 xml:space="preserve"> completo con un </w:t>
      </w:r>
      <w:proofErr w:type="spellStart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drenador</w:t>
      </w:r>
      <w:proofErr w:type="spellEnd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 xml:space="preserve"> de transistor Darlington y una fuente </w:t>
      </w:r>
      <w:proofErr w:type="spellStart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pseudo</w:t>
      </w:r>
      <w:proofErr w:type="spellEnd"/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-Darlington. Los controladores se habilitan en pares, de manera que los controladores 1 y 2 se habilitan mediante 1,2EN y los controladores 3 y 4 se habilitan mediante 3,4EN. Cuando una entrada de habilitación está elevada, los controladores asociados se habilitan y sus salidas están activas y en fase con sus entradas. Cuando la salida está baja, esos controladores se inhabilitan y sus salidas se desactivan y pasan</w:t>
      </w:r>
    </w:p>
    <w:p w:rsidR="00172A7A" w:rsidRPr="00172A7A" w:rsidRDefault="00172A7A" w:rsidP="00172A7A">
      <w:pPr>
        <w:numPr>
          <w:ilvl w:val="0"/>
          <w:numId w:val="1"/>
        </w:numPr>
        <w:spacing w:after="90" w:line="240" w:lineRule="auto"/>
        <w:ind w:left="180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Alimentación de entrada lógica separada</w:t>
      </w:r>
    </w:p>
    <w:p w:rsidR="00172A7A" w:rsidRPr="00172A7A" w:rsidRDefault="00172A7A" w:rsidP="00172A7A">
      <w:pPr>
        <w:numPr>
          <w:ilvl w:val="0"/>
          <w:numId w:val="1"/>
        </w:numPr>
        <w:spacing w:after="90" w:line="240" w:lineRule="auto"/>
        <w:ind w:left="180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Protección ESD interna</w:t>
      </w:r>
    </w:p>
    <w:p w:rsidR="00172A7A" w:rsidRPr="00172A7A" w:rsidRDefault="00172A7A" w:rsidP="00172A7A">
      <w:pPr>
        <w:numPr>
          <w:ilvl w:val="0"/>
          <w:numId w:val="1"/>
        </w:numPr>
        <w:spacing w:after="90" w:line="240" w:lineRule="auto"/>
        <w:ind w:left="180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Desconexión térmica</w:t>
      </w:r>
    </w:p>
    <w:p w:rsidR="00172A7A" w:rsidRPr="00172A7A" w:rsidRDefault="00172A7A" w:rsidP="00172A7A">
      <w:pPr>
        <w:numPr>
          <w:ilvl w:val="0"/>
          <w:numId w:val="1"/>
        </w:numPr>
        <w:spacing w:after="90" w:line="240" w:lineRule="auto"/>
        <w:ind w:left="180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Entradas de alta inmunidad a ruido</w:t>
      </w:r>
    </w:p>
    <w:p w:rsidR="00172A7A" w:rsidRPr="00172A7A" w:rsidRDefault="00172A7A" w:rsidP="00172A7A">
      <w:pPr>
        <w:numPr>
          <w:ilvl w:val="0"/>
          <w:numId w:val="1"/>
        </w:numPr>
        <w:spacing w:after="90" w:line="240" w:lineRule="auto"/>
        <w:ind w:left="180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Corriente de salida de 600mA por canal</w:t>
      </w:r>
    </w:p>
    <w:p w:rsidR="00172A7A" w:rsidRPr="00172A7A" w:rsidRDefault="00172A7A" w:rsidP="00172A7A">
      <w:pPr>
        <w:numPr>
          <w:ilvl w:val="0"/>
          <w:numId w:val="1"/>
        </w:numPr>
        <w:spacing w:after="150" w:line="240" w:lineRule="auto"/>
        <w:ind w:left="180"/>
        <w:textAlignment w:val="baseline"/>
        <w:rPr>
          <w:rFonts w:ascii="Verdana" w:eastAsia="Times New Roman" w:hAnsi="Verdana" w:cs="Times New Roman"/>
          <w:sz w:val="28"/>
          <w:szCs w:val="28"/>
          <w:lang w:eastAsia="es-AR"/>
        </w:rPr>
      </w:pPr>
      <w:r w:rsidRPr="00172A7A">
        <w:rPr>
          <w:rFonts w:ascii="Verdana" w:eastAsia="Times New Roman" w:hAnsi="Verdana" w:cs="Times New Roman"/>
          <w:sz w:val="28"/>
          <w:szCs w:val="28"/>
          <w:lang w:eastAsia="es-AR"/>
        </w:rPr>
        <w:t>Diodos fijadores de salida para supresión de transitorios inductivos</w:t>
      </w:r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  <w:sz w:val="28"/>
          <w:szCs w:val="28"/>
        </w:rPr>
        <w:br/>
      </w:r>
      <w:r w:rsidRPr="006D7E82">
        <w:rPr>
          <w:rFonts w:ascii="Verdana" w:hAnsi="Verdana"/>
          <w:b/>
          <w:bCs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5" o:title=""/>
          </v:shape>
          <w:control r:id="rId6" w:name="DefaultOcxName" w:shapeid="_x0000_i1042"/>
        </w:object>
      </w:r>
      <w:r w:rsidRPr="006D7E82">
        <w:rPr>
          <w:rFonts w:ascii="Verdana" w:hAnsi="Verdana"/>
          <w:b/>
          <w:bCs/>
        </w:rPr>
        <w:t>Tipo de Motor: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7" w:history="1">
        <w:r w:rsidRPr="006D7E82">
          <w:rPr>
            <w:rStyle w:val="Hipervnculo"/>
            <w:rFonts w:ascii="Verdana" w:hAnsi="Verdana"/>
            <w:color w:val="auto"/>
            <w:u w:val="none"/>
          </w:rPr>
          <w:t>Medio H</w:t>
        </w:r>
      </w:hyperlink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</w:rPr>
        <w:object w:dxaOrig="225" w:dyaOrig="225">
          <v:shape id="_x0000_i1045" type="#_x0000_t75" style="width:18pt;height:15.6pt" o:ole="">
            <v:imagedata r:id="rId5" o:title=""/>
          </v:shape>
          <w:control r:id="rId8" w:name="DefaultOcxName1" w:shapeid="_x0000_i1045"/>
        </w:object>
      </w:r>
      <w:r w:rsidRPr="006D7E82">
        <w:rPr>
          <w:rFonts w:ascii="Verdana" w:hAnsi="Verdana"/>
          <w:b/>
          <w:bCs/>
        </w:rPr>
        <w:t>Núm. de Salidas: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9" w:history="1">
        <w:r w:rsidRPr="006D7E82">
          <w:rPr>
            <w:rStyle w:val="Hipervnculo"/>
            <w:rFonts w:ascii="Verdana" w:hAnsi="Verdana"/>
            <w:color w:val="auto"/>
            <w:u w:val="none"/>
          </w:rPr>
          <w:t>4Salidas</w:t>
        </w:r>
      </w:hyperlink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</w:rPr>
        <w:object w:dxaOrig="225" w:dyaOrig="225">
          <v:shape id="_x0000_i1048" type="#_x0000_t75" style="width:18pt;height:15.6pt" o:ole="">
            <v:imagedata r:id="rId10" o:title=""/>
          </v:shape>
          <w:control r:id="rId11" w:name="DefaultOcxName2" w:shapeid="_x0000_i1048"/>
        </w:object>
      </w:r>
      <w:r w:rsidRPr="006D7E82">
        <w:rPr>
          <w:rFonts w:ascii="Verdana" w:hAnsi="Verdana"/>
          <w:b/>
          <w:bCs/>
        </w:rPr>
        <w:t>Corriente de Salida: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12" w:history="1">
        <w:r w:rsidRPr="006D7E82">
          <w:rPr>
            <w:rStyle w:val="Hipervnculo"/>
            <w:rFonts w:ascii="Verdana" w:hAnsi="Verdana"/>
            <w:color w:val="auto"/>
            <w:u w:val="none"/>
          </w:rPr>
          <w:t>1.2A</w:t>
        </w:r>
      </w:hyperlink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</w:rPr>
        <w:object w:dxaOrig="225" w:dyaOrig="225">
          <v:shape id="_x0000_i1051" type="#_x0000_t75" style="width:18pt;height:15.6pt" o:ole="">
            <v:imagedata r:id="rId10" o:title=""/>
          </v:shape>
          <w:control r:id="rId13" w:name="DefaultOcxName3" w:shapeid="_x0000_i1051"/>
        </w:object>
      </w:r>
      <w:r w:rsidRPr="006D7E82">
        <w:rPr>
          <w:rFonts w:ascii="Verdana" w:hAnsi="Verdana"/>
          <w:b/>
          <w:bCs/>
        </w:rPr>
        <w:t>Tensión de Salida: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14" w:history="1">
        <w:r w:rsidRPr="006D7E82">
          <w:rPr>
            <w:rStyle w:val="Hipervnculo"/>
            <w:rFonts w:ascii="Verdana" w:hAnsi="Verdana"/>
            <w:color w:val="auto"/>
            <w:u w:val="none"/>
          </w:rPr>
          <w:t>39V</w:t>
        </w:r>
      </w:hyperlink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</w:rPr>
        <w:object w:dxaOrig="225" w:dyaOrig="225">
          <v:shape id="_x0000_i1054" type="#_x0000_t75" style="width:18pt;height:15.6pt" o:ole="">
            <v:imagedata r:id="rId10" o:title=""/>
          </v:shape>
          <w:control r:id="rId15" w:name="DefaultOcxName4" w:shapeid="_x0000_i1054"/>
        </w:object>
      </w:r>
      <w:r w:rsidRPr="006D7E82">
        <w:rPr>
          <w:rFonts w:ascii="Verdana" w:hAnsi="Verdana"/>
          <w:b/>
          <w:bCs/>
        </w:rPr>
        <w:t>Encapsulado del Controlador: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16" w:history="1">
        <w:r w:rsidRPr="006D7E82">
          <w:rPr>
            <w:rStyle w:val="Hipervnculo"/>
            <w:rFonts w:ascii="Verdana" w:hAnsi="Verdana"/>
            <w:color w:val="auto"/>
            <w:u w:val="none"/>
          </w:rPr>
          <w:t>DIP</w:t>
        </w:r>
      </w:hyperlink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</w:rPr>
        <w:lastRenderedPageBreak/>
        <w:object w:dxaOrig="225" w:dyaOrig="225">
          <v:shape id="_x0000_i1057" type="#_x0000_t75" style="width:18pt;height:15.6pt" o:ole="">
            <v:imagedata r:id="rId10" o:title=""/>
          </v:shape>
          <w:control r:id="rId17" w:name="DefaultOcxName5" w:shapeid="_x0000_i1057"/>
        </w:object>
      </w:r>
      <w:r w:rsidRPr="006D7E82">
        <w:rPr>
          <w:rFonts w:ascii="Verdana" w:hAnsi="Verdana"/>
          <w:b/>
          <w:bCs/>
        </w:rPr>
        <w:t>Número de Pines: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18" w:history="1">
        <w:r w:rsidRPr="006D7E82">
          <w:rPr>
            <w:rStyle w:val="Hipervnculo"/>
            <w:rFonts w:ascii="Verdana" w:hAnsi="Verdana"/>
            <w:color w:val="auto"/>
            <w:u w:val="none"/>
          </w:rPr>
          <w:t>16Pines</w:t>
        </w:r>
      </w:hyperlink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</w:rPr>
        <w:object w:dxaOrig="225" w:dyaOrig="225">
          <v:shape id="_x0000_i1060" type="#_x0000_t75" style="width:18pt;height:15.6pt" o:ole="">
            <v:imagedata r:id="rId10" o:title=""/>
          </v:shape>
          <w:control r:id="rId19" w:name="DefaultOcxName6" w:shapeid="_x0000_i1060"/>
        </w:object>
      </w:r>
      <w:r w:rsidRPr="006D7E82">
        <w:rPr>
          <w:rFonts w:ascii="Verdana" w:hAnsi="Verdana"/>
          <w:b/>
          <w:bCs/>
        </w:rPr>
        <w:t>Tensión de Alimentación Mín.: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20" w:history="1">
        <w:r w:rsidRPr="006D7E82">
          <w:rPr>
            <w:rStyle w:val="Hipervnculo"/>
            <w:rFonts w:ascii="Verdana" w:hAnsi="Verdana"/>
            <w:color w:val="auto"/>
            <w:u w:val="none"/>
          </w:rPr>
          <w:t>4.5V</w:t>
        </w:r>
      </w:hyperlink>
    </w:p>
    <w:p w:rsidR="00172A7A" w:rsidRPr="006D7E82" w:rsidRDefault="00172A7A" w:rsidP="006D7E82">
      <w:pPr>
        <w:shd w:val="clear" w:color="auto" w:fill="FFFFFF"/>
        <w:spacing w:after="150"/>
        <w:ind w:left="360"/>
        <w:textAlignment w:val="top"/>
        <w:rPr>
          <w:rFonts w:ascii="Verdana" w:hAnsi="Verdana"/>
          <w:b/>
          <w:bCs/>
        </w:rPr>
      </w:pPr>
      <w:r w:rsidRPr="006D7E82">
        <w:rPr>
          <w:rFonts w:ascii="Verdana" w:hAnsi="Verdana"/>
          <w:b/>
          <w:bCs/>
        </w:rPr>
        <w:object w:dxaOrig="225" w:dyaOrig="225">
          <v:shape id="_x0000_i1063" type="#_x0000_t75" style="width:18pt;height:15.6pt" o:ole="">
            <v:imagedata r:id="rId10" o:title=""/>
          </v:shape>
          <w:control r:id="rId21" w:name="DefaultOcxName7" w:shapeid="_x0000_i1063"/>
        </w:object>
      </w:r>
      <w:r w:rsidRPr="006D7E82">
        <w:rPr>
          <w:rFonts w:ascii="Verdana" w:hAnsi="Verdana"/>
          <w:b/>
          <w:bCs/>
        </w:rPr>
        <w:t>Tensión de Alimentación Máx.:</w:t>
      </w:r>
      <w:r w:rsidR="006D7E82" w:rsidRPr="006D7E82">
        <w:rPr>
          <w:rFonts w:ascii="Verdana" w:hAnsi="Verdana"/>
          <w:b/>
          <w:bCs/>
        </w:rPr>
        <w:t xml:space="preserve"> </w:t>
      </w:r>
      <w:hyperlink r:id="rId22" w:history="1">
        <w:r w:rsidRPr="006D7E82">
          <w:rPr>
            <w:rStyle w:val="Hipervnculo"/>
            <w:rFonts w:ascii="Verdana" w:hAnsi="Verdana"/>
            <w:color w:val="auto"/>
            <w:u w:val="none"/>
          </w:rPr>
          <w:t>36V</w:t>
        </w:r>
      </w:hyperlink>
    </w:p>
    <w:p w:rsidR="00AF7A67" w:rsidRDefault="00AF7A67"/>
    <w:p w:rsidR="00172A7A" w:rsidRDefault="00172A7A"/>
    <w:sectPr w:rsidR="00172A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3775D"/>
    <w:multiLevelType w:val="multilevel"/>
    <w:tmpl w:val="1534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59"/>
    <w:rsid w:val="00172A7A"/>
    <w:rsid w:val="00383559"/>
    <w:rsid w:val="00506CE3"/>
    <w:rsid w:val="006D7E82"/>
    <w:rsid w:val="00AF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5361C1F2-6D1B-4C87-B807-10382A98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2A7A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2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2A7A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2A7A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17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23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4.xml"/><Relationship Id="rId18" Type="http://schemas.openxmlformats.org/officeDocument/2006/relationships/hyperlink" Target="http://es.farnell.com/w/c/semiconductores-circuitos-integrados/circuitos-de-gestion-de-potencia-pmic/controladores/controladores-de-motor?numero-de-pines=16pines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hyperlink" Target="http://es.farnell.com/c/semiconductores-circuitos-integrados/circuitos-de-gestion-de-potencia-pmic/controladores/controladores-de-motor?tipo-de-motor=medio-h" TargetMode="External"/><Relationship Id="rId12" Type="http://schemas.openxmlformats.org/officeDocument/2006/relationships/hyperlink" Target="http://es.farnell.com/c/semiconductores-circuitos-integrados/circuitos-de-gestion-de-potencia-pmic/controladores/controladores-de-motor?corriente-de-salida=1.2a" TargetMode="External"/><Relationship Id="rId17" Type="http://schemas.openxmlformats.org/officeDocument/2006/relationships/control" Target="activeX/activeX6.xml"/><Relationship Id="rId2" Type="http://schemas.openxmlformats.org/officeDocument/2006/relationships/styles" Target="styles.xml"/><Relationship Id="rId16" Type="http://schemas.openxmlformats.org/officeDocument/2006/relationships/hyperlink" Target="http://es.farnell.com/w/c/semiconductores-circuitos-integrados/circuitos-de-gestion-de-potencia-pmic/controladores/controladores-de-motor?encapsulado-del-controlador=dip" TargetMode="External"/><Relationship Id="rId20" Type="http://schemas.openxmlformats.org/officeDocument/2006/relationships/hyperlink" Target="http://es.farnell.com/w/c/semiconductores-circuitos-integrados/circuitos-de-gestion-de-potencia-pmic/controladores/controladores-de-motor?tension-de-alimentacion-min-=4.5v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7.xml"/><Relationship Id="rId4" Type="http://schemas.openxmlformats.org/officeDocument/2006/relationships/webSettings" Target="webSettings.xml"/><Relationship Id="rId9" Type="http://schemas.openxmlformats.org/officeDocument/2006/relationships/hyperlink" Target="http://es.farnell.com/c/semiconductores-circuitos-integrados/circuitos-de-gestion-de-potencia-pmic/controladores/controladores-de-motor?num-de-salidas=4salidas" TargetMode="External"/><Relationship Id="rId14" Type="http://schemas.openxmlformats.org/officeDocument/2006/relationships/hyperlink" Target="http://es.farnell.com/w/c/semiconductores-circuitos-integrados/circuitos-de-gestion-de-potencia-pmic/controladores/controladores-de-motor?tension-de-salida=39v" TargetMode="External"/><Relationship Id="rId22" Type="http://schemas.openxmlformats.org/officeDocument/2006/relationships/hyperlink" Target="http://es.farnell.com/w/c/semiconductores-circuitos-integrados/circuitos-de-gestion-de-potencia-pmic/controladores/controladores-de-motor?tension-de-alimentacion-max-=36v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Melgarejo</cp:lastModifiedBy>
  <cp:revision>2</cp:revision>
  <dcterms:created xsi:type="dcterms:W3CDTF">2018-10-22T18:41:00Z</dcterms:created>
  <dcterms:modified xsi:type="dcterms:W3CDTF">2018-10-22T18:41:00Z</dcterms:modified>
</cp:coreProperties>
</file>