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Charte d'utilisation des moyens informatiques</w:t>
      </w:r>
    </w:p>
    <w:p>
      <w:r>
        <w:rPr>
          <w:b w:val="0"/>
        </w:rPr>
        <w:t>Nexalis Conseil — Annexe au règlement intérieur, en vigueur depuis le 1er juin 2025. Responsable : le RSSI (responsable de la sécurité des systèmes d'information).</w:t>
      </w:r>
    </w:p>
    <w:p>
      <w:pPr>
        <w:pStyle w:val="Heading1"/>
      </w:pPr>
      <w:r>
        <w:t>Article 1 — Objet et champ d'application</w:t>
      </w:r>
    </w:p>
    <w:p>
      <w:r>
        <w:rPr>
          <w:b w:val="0"/>
        </w:rPr>
        <w:t>La présente charte définit les règles d'utilisation des moyens informatiques et numériques mis à disposition par Nexalis Conseil : postes de travail, téléphones, messagerie, accès internet, applications et services en ligne. Elle s'applique à tous les salariés, stagiaires, alternants, intérimaires et prestataires disposant d'un accès au système d'information. Elle s'applique aussi en télétravail et chez les clients.</w:t>
      </w:r>
    </w:p>
    <w:p>
      <w:pPr>
        <w:pStyle w:val="Heading1"/>
      </w:pPr>
      <w:r>
        <w:t>Article 2 — Comptes et mots de passe</w:t>
      </w:r>
    </w:p>
    <w:p>
      <w:r>
        <w:rPr>
          <w:b w:val="0"/>
        </w:rPr>
        <w:t>Chaque utilisateur dispose d'un compte personnel. Il est responsable de toutes les actions réalisées avec ce compte.</w:t>
      </w:r>
    </w:p>
    <w:p>
      <w:r>
        <w:rPr>
          <w:b w:val="0"/>
        </w:rPr>
        <w:t>Règles relatives aux mots de passe :</w:t>
      </w:r>
    </w:p>
    <w:p>
      <w:pPr>
        <w:pStyle w:val="ListBullet"/>
      </w:pPr>
      <w:r>
        <w:rPr>
          <w:b w:val="0"/>
        </w:rPr>
        <w:t xml:space="preserve">longueur minimale de </w:t>
      </w:r>
      <w:r>
        <w:rPr>
          <w:b/>
        </w:rPr>
        <w:t>12 caractères</w:t>
      </w:r>
      <w:r>
        <w:rPr>
          <w:b w:val="0"/>
        </w:rPr>
        <w:t>, mêlant majuscules, minuscules, chiffres et caractères spéciaux ; une phrase de passe d'au moins 16 caractères est recommandée ;</w:t>
      </w:r>
    </w:p>
    <w:p>
      <w:pPr>
        <w:pStyle w:val="ListBullet"/>
      </w:pPr>
      <w:r>
        <w:rPr>
          <w:b w:val="0"/>
        </w:rPr>
        <w:t>un mot de passe différent pour chaque service ; ne jamais réutiliser le mot de passe Nexalis sur un site personnel ;</w:t>
      </w:r>
    </w:p>
    <w:p>
      <w:pPr>
        <w:pStyle w:val="ListBullet"/>
      </w:pPr>
      <w:r>
        <w:rPr>
          <w:b w:val="0"/>
        </w:rPr>
        <w:t xml:space="preserve">le mot de passe est </w:t>
      </w:r>
      <w:r>
        <w:rPr>
          <w:b/>
        </w:rPr>
        <w:t>strictement personnel</w:t>
      </w:r>
      <w:r>
        <w:rPr>
          <w:b w:val="0"/>
        </w:rPr>
        <w:t xml:space="preserve"> : il ne doit jamais être communiqué, y compris au service informatique, qui ne le demandera jamais ;</w:t>
      </w:r>
    </w:p>
    <w:p>
      <w:pPr>
        <w:pStyle w:val="ListBullet"/>
      </w:pPr>
      <w:r>
        <w:rPr>
          <w:b w:val="0"/>
        </w:rPr>
        <w:t>utiliser le gestionnaire de mots de passe fourni par l'entreprise ; ne pas noter les mots de passe sur papier ou dans un fichier non chiffré ;</w:t>
      </w:r>
    </w:p>
    <w:p>
      <w:pPr>
        <w:pStyle w:val="ListBullet"/>
      </w:pPr>
      <w:r>
        <w:rPr>
          <w:b w:val="0"/>
        </w:rPr>
        <w:t xml:space="preserve">le mot de passe Windows expire tous les </w:t>
      </w:r>
      <w:r>
        <w:rPr>
          <w:b/>
        </w:rPr>
        <w:t>12 mois</w:t>
      </w:r>
      <w:r>
        <w:rPr>
          <w:b w:val="0"/>
        </w:rPr>
        <w:t xml:space="preserve"> ou immédiatement en cas de suspicion de compromission.</w:t>
      </w:r>
    </w:p>
    <w:p>
      <w:r>
        <w:rPr>
          <w:b w:val="0"/>
        </w:rPr>
        <w:t xml:space="preserve">L'authentification multifacteur (MFA) est </w:t>
      </w:r>
      <w:r>
        <w:rPr>
          <w:b/>
        </w:rPr>
        <w:t>obligatoire</w:t>
      </w:r>
      <w:r>
        <w:rPr>
          <w:b w:val="0"/>
        </w:rPr>
        <w:t xml:space="preserve"> pour la messagerie, le VPN et tous les services accessibles depuis internet.</w:t>
      </w:r>
    </w:p>
    <w:p>
      <w:r>
        <w:rPr>
          <w:b w:val="0"/>
        </w:rPr>
        <w:t xml:space="preserve">Le compte est verrouillé après </w:t>
      </w:r>
      <w:r>
        <w:rPr>
          <w:b/>
        </w:rPr>
        <w:t>5 tentatives</w:t>
      </w:r>
      <w:r>
        <w:rPr>
          <w:b w:val="0"/>
        </w:rPr>
        <w:t xml:space="preserve"> de connexion infructueuses.</w:t>
      </w:r>
    </w:p>
    <w:p>
      <w:pPr>
        <w:pStyle w:val="Heading1"/>
      </w:pPr>
      <w:r>
        <w:t>Article 3 — Poste de travail</w:t>
      </w:r>
    </w:p>
    <w:p>
      <w:pPr>
        <w:pStyle w:val="ListBullet"/>
      </w:pPr>
      <w:r>
        <w:rPr>
          <w:b w:val="0"/>
        </w:rPr>
        <w:t>Verrouiller sa session à chaque absence, même brève (touches Windows + L). Le verrouillage automatique intervient après 5 minutes d'inactivité.</w:t>
      </w:r>
    </w:p>
    <w:p>
      <w:pPr>
        <w:pStyle w:val="ListBullet"/>
      </w:pPr>
      <w:r>
        <w:rPr>
          <w:b w:val="0"/>
        </w:rPr>
        <w:t>Ne pas désactiver l'antivirus, le pare-feu ni le chiffrement du disque.</w:t>
      </w:r>
    </w:p>
    <w:p>
      <w:pPr>
        <w:pStyle w:val="ListBullet"/>
      </w:pPr>
      <w:r>
        <w:rPr>
          <w:b w:val="0"/>
        </w:rPr>
        <w:t>L'installation de logiciels est réservée au service informatique. Les logiciels autorisés sont disponibles dans le « Centre logiciel » ; toute autre demande passe par un ticket.</w:t>
      </w:r>
    </w:p>
    <w:p>
      <w:pPr>
        <w:pStyle w:val="ListBullet"/>
      </w:pPr>
      <w:r>
        <w:rPr>
          <w:b w:val="0"/>
        </w:rPr>
        <w:t>Accepter les mises à jour de sécurité dans un délai de 7 jours ; le redémarrage est forcé au-delà.</w:t>
      </w:r>
    </w:p>
    <w:p>
      <w:pPr>
        <w:pStyle w:val="ListBullet"/>
      </w:pPr>
      <w:r>
        <w:rPr>
          <w:b w:val="0"/>
        </w:rPr>
        <w:t>Ne jamais brancher une clé USB d'origine inconnue. Les supports amovibles personnels sont interdits ; les clés USB chiffrées fournies par l'entreprise sont les seules autorisées.</w:t>
      </w:r>
    </w:p>
    <w:p>
      <w:pPr>
        <w:pStyle w:val="Heading1"/>
      </w:pPr>
      <w:r>
        <w:t>Article 4 — Messagerie et hameçonnage</w:t>
      </w:r>
    </w:p>
    <w:p>
      <w:r>
        <w:rPr>
          <w:b w:val="0"/>
        </w:rPr>
        <w:t>La messagerie professionnelle est réservée à un usage professionnel ; un usage personnel ponctuel et raisonnable est toléré. Les messages personnels doivent être identifiés par la mention « Personnel » dans l'objet.</w:t>
      </w:r>
    </w:p>
    <w:p>
      <w:r>
        <w:rPr>
          <w:b w:val="0"/>
        </w:rPr>
        <w:t>En cas de courriel suspect (expéditeur inconnu, pièce jointe inattendue, demande urgente de paiement ou d'identifiants) : ne pas cliquer, ne pas répondre et utiliser le bouton « Signaler un hameçonnage » d'Outlook. En cas de clic, prévenir immédiatement le support informatique.</w:t>
      </w:r>
    </w:p>
    <w:p>
      <w:r>
        <w:rPr>
          <w:b w:val="0"/>
        </w:rPr>
        <w:t>Le transfert automatique des courriels professionnels vers une messagerie personnelle est interdit.</w:t>
      </w:r>
    </w:p>
    <w:p>
      <w:pPr>
        <w:pStyle w:val="Heading1"/>
      </w:pPr>
      <w:r>
        <w:t>Article 5 — Internet et services en ligne</w:t>
      </w:r>
    </w:p>
    <w:p>
      <w:r>
        <w:rPr>
          <w:b w:val="0"/>
        </w:rPr>
        <w:t>L'accès à internet est destiné à l'activité professionnelle. Un usage personnel raisonnable est toléré pendant les pauses, à condition de ne pas nuire à l'activité ni à la sécurité.</w:t>
      </w:r>
    </w:p>
    <w:p>
      <w:r>
        <w:rPr>
          <w:b w:val="0"/>
        </w:rPr>
        <w:t>Sont interdits :</w:t>
      </w:r>
    </w:p>
    <w:p>
      <w:pPr>
        <w:pStyle w:val="ListBullet"/>
      </w:pPr>
      <w:r>
        <w:rPr>
          <w:b w:val="0"/>
        </w:rPr>
        <w:t>la consultation de sites à caractère pornographique, violent, discriminatoire ou illicite ;</w:t>
      </w:r>
    </w:p>
    <w:p>
      <w:pPr>
        <w:pStyle w:val="ListBullet"/>
      </w:pPr>
      <w:r>
        <w:rPr>
          <w:b w:val="0"/>
        </w:rPr>
        <w:t>le téléchargement illégal d'œuvres protégées ;</w:t>
      </w:r>
    </w:p>
    <w:p>
      <w:pPr>
        <w:pStyle w:val="ListBullet"/>
      </w:pPr>
      <w:r>
        <w:rPr>
          <w:b w:val="0"/>
        </w:rPr>
        <w:t>l'utilisation de services de stockage ou de partage de fichiers personnels (Dropbox, WeTransfer, Google Drive personnel) pour des données de l'entreprise ou des clients ;</w:t>
      </w:r>
    </w:p>
    <w:p>
      <w:pPr>
        <w:pStyle w:val="ListBullet"/>
      </w:pPr>
      <w:r>
        <w:rPr>
          <w:b w:val="0"/>
        </w:rPr>
        <w:t>l'utilisation de services d'intelligence artificielle générative publics avec des données confidentielles, personnelles ou appartenant à un client. Seul l'assistant IA interne validé par le RSSI peut recevoir ce type de données.</w:t>
      </w:r>
    </w:p>
    <w:p>
      <w:pPr>
        <w:pStyle w:val="Heading1"/>
      </w:pPr>
      <w:r>
        <w:t>Article 6 — Données et confidentialité</w:t>
      </w:r>
    </w:p>
    <w:p>
      <w:r>
        <w:rPr>
          <w:b w:val="0"/>
        </w:rPr>
        <w:t>Les données sont classées en quatre niveaux : public, interne, confidentiel, secret client. Les documents confidentiels sont stockés uniquement sur les espaces SharePoint de l'entreprise ou du client, jamais en local sans chiffrement.</w:t>
      </w:r>
    </w:p>
    <w:p>
      <w:r>
        <w:rPr>
          <w:b w:val="0"/>
        </w:rPr>
        <w:t>Les données personnelles (salariés, clients, candidats) sont traitées conformément au RGPD : collecte limitée au nécessaire, accès réservé aux personnes habilitées, aucune extraction sans l'accord du délégué à la protection des données (DPO).</w:t>
      </w:r>
    </w:p>
    <w:p>
      <w:pPr>
        <w:pStyle w:val="Heading1"/>
      </w:pPr>
      <w:r>
        <w:t>Article 7 — Matériel nomade et déplacements</w:t>
      </w:r>
    </w:p>
    <w:p>
      <w:r>
        <w:rPr>
          <w:b w:val="0"/>
        </w:rPr>
        <w:t>Le matériel mis à disposition reste sous la garde de l'utilisateur. En déplacement : ne jamais laisser l'ordinateur sans surveillance, utiliser un filtre de confidentialité dans les transports, se connecter uniquement via le VPN sur les réseaux publics.</w:t>
      </w:r>
    </w:p>
    <w:p>
      <w:r>
        <w:rPr>
          <w:b w:val="0"/>
        </w:rPr>
        <w:t xml:space="preserve">La perte ou le vol d'un équipement doit être signalé au support informatique </w:t>
      </w:r>
      <w:r>
        <w:rPr>
          <w:b/>
        </w:rPr>
        <w:t>dans l'heure</w:t>
      </w:r>
      <w:r>
        <w:rPr>
          <w:b w:val="0"/>
        </w:rPr>
        <w:t xml:space="preserve"> qui suit la découverte, afin de bloquer les accès à distance. Un dépôt de plainte est ensuite demandé.</w:t>
      </w:r>
    </w:p>
    <w:p>
      <w:pPr>
        <w:pStyle w:val="Heading1"/>
      </w:pPr>
      <w:r>
        <w:t>Article 8 — Signalement des incidents</w:t>
      </w:r>
    </w:p>
    <w:p>
      <w:r>
        <w:rPr>
          <w:b w:val="0"/>
        </w:rPr>
        <w:t>Tout incident de sécurité, même supposé (virus, comportement anormal du poste, perte de données, courriel frauduleux ouvert), doit être signalé sans délai au support informatique (poste 4242) ou par courriel à l'équipe sécurité. Le salarié ne doit pas tenter de résoudre seul l'incident ni éteindre le poste infecté : il le déconnecte du réseau (Wi-Fi et câble).</w:t>
      </w:r>
    </w:p>
    <w:p>
      <w:pPr>
        <w:pStyle w:val="Heading1"/>
      </w:pPr>
      <w:r>
        <w:t>Article 9 — Contrôles et traçabilité</w:t>
      </w:r>
    </w:p>
    <w:p>
      <w:r>
        <w:rPr>
          <w:b w:val="0"/>
        </w:rPr>
        <w:t xml:space="preserve">Pour assurer la sécurité du système d'information, Nexalis Conseil conserve des journaux de connexion pendant </w:t>
      </w:r>
      <w:r>
        <w:rPr>
          <w:b/>
        </w:rPr>
        <w:t>6 mois</w:t>
      </w:r>
      <w:r>
        <w:rPr>
          <w:b w:val="0"/>
        </w:rPr>
        <w:t>. Ces journaux peuvent être analysés en cas d'incident. Les contrôles individuels ne sont réalisés qu'en présence d'un motif légitime, dans le respect de la vie privée et après information des représentants du personnel. Les fichiers et messages identifiés comme « Personnel » ne sont pas ouverts hors de la présence du salarié, sauf risque ou événement particulier.</w:t>
      </w:r>
    </w:p>
    <w:p>
      <w:pPr>
        <w:pStyle w:val="Heading1"/>
      </w:pPr>
      <w:r>
        <w:t>Article 10 — Départ de l'entreprise</w:t>
      </w:r>
    </w:p>
    <w:p>
      <w:r>
        <w:rPr>
          <w:b w:val="0"/>
        </w:rPr>
        <w:t>Au départ, le salarié restitue l'ensemble du matériel (ordinateur, téléphone, badge, clés USB chiffrées) et supprime ses données personnelles du poste. Les comptes sont désactivés le dernier jour de présence à 18 h 00.</w:t>
      </w:r>
    </w:p>
    <w:p>
      <w:pPr>
        <w:pStyle w:val="Heading1"/>
      </w:pPr>
      <w:r>
        <w:t>Article 11 — Sanctions</w:t>
      </w:r>
    </w:p>
    <w:p>
      <w:r>
        <w:rPr>
          <w:b w:val="0"/>
        </w:rPr>
        <w:t>Le non-respect de la présente charte peut entraîner la suspension immédiate des accès et des sanctions disciplinaires prévues par le règlement intérieur, pouvant aller jusqu'au licenciement, sans préjudice d'éventuelles poursuites pénales.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Document interne fictif (projet pédagogique Ynov). Sources : ANSSI, « Guide d'hygiène informatique : renforcer la sécurité de son système d'information en 42 mesures » et modèle de charte d'utilisation des moyens informatiques et des outils numériques (ANSSI, guide PME/ETI) ; CNIL, recommandations sur les mots de passe. Règles propres à Nexalis Conseil fictives.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 d'utilisation des moyens informatiques</dc:title>
  <dc:subject/>
  <dc:creator>Nexalis Conseil</dc:creator>
  <cp:keywords/>
  <dc:description>generated by python-docx</dc:description>
  <cp:lastModifiedBy/>
  <cp:revision>1</cp:revision>
  <dcterms:created xsi:type="dcterms:W3CDTF">2013-12-23T23:15:00Z</dcterms:created>
  <dcterms:modified xsi:type="dcterms:W3CDTF">2013-12-23T23:15:00Z</dcterms:modified>
  <cp:category/>
</cp:coreProperties>
</file>