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Syntec — Événements familiaux et parentalité</w:t>
      </w:r>
    </w:p>
    <w:p>
      <w:r>
        <w:rPr>
          <w:b w:val="0"/>
        </w:rPr>
        <w:t>Nexalis Conseil — Direction des ressources humaines. Fiche de synthèse de la convention collective Syntec (IDCC 1486), à jour au 15 octobre 2026.</w:t>
      </w:r>
    </w:p>
    <w:p>
      <w:r>
        <w:rPr>
          <w:b w:val="0"/>
        </w:rPr>
        <w:t xml:space="preserve">Depuis le </w:t>
      </w:r>
      <w:r>
        <w:rPr>
          <w:b/>
        </w:rPr>
        <w:t>1er mai 2026</w:t>
      </w:r>
      <w:r>
        <w:rPr>
          <w:b w:val="0"/>
        </w:rPr>
        <w:t>, l'avenant n° 49 du 22 octobre 2025 a réécrit les règles de la branche sur les congés pour événements familiaux et sur la parentalité. Cette fiche les résume. Lorsque le Code du travail ou un accord Nexalis prévoit une durée plus longue pour un même événement, c'est la durée la plus favorable qui s'applique.</w:t>
      </w:r>
    </w:p>
    <w:p>
      <w:pPr>
        <w:pStyle w:val="Heading1"/>
      </w:pPr>
      <w:r>
        <w:t>1. Les congés pour événements familiaux</w:t>
      </w:r>
    </w:p>
    <w:p>
      <w:r>
        <w:rPr>
          <w:b w:val="0"/>
        </w:rPr>
        <w:t>Ces absences sont accordées sans condition d'ancienneté, sur justificatif. Elles ne réduisent pas le salaire et ne sont pas déduites des congés payés.</w:t>
      </w:r>
    </w:p>
    <w:tbl>
      <w:tblPr>
        <w:tblStyle w:val="TableGrid"/>
        <w:tblW w:type="auto" w:w="0"/>
        <w:tblLook w:firstColumn="1" w:firstRow="1" w:lastColumn="0" w:lastRow="0" w:noHBand="0" w:noVBand="1" w:val="04A0"/>
      </w:tblPr>
      <w:tblGrid>
        <w:gridCol w:w="4320"/>
        <w:gridCol w:w="4320"/>
      </w:tblGrid>
      <w:tr>
        <w:tc>
          <w:tcPr>
            <w:tcW w:type="dxa" w:w="4320"/>
          </w:tcPr>
          <w:p>
            <w:r>
              <w:rPr>
                <w:b/>
              </w:rPr>
              <w:t>Événement</w:t>
            </w:r>
          </w:p>
        </w:tc>
        <w:tc>
          <w:tcPr>
            <w:tcW w:type="dxa" w:w="4320"/>
          </w:tcPr>
          <w:p>
            <w:r>
              <w:rPr>
                <w:b/>
              </w:rPr>
              <w:t>Durée</w:t>
            </w:r>
          </w:p>
        </w:tc>
      </w:tr>
      <w:tr>
        <w:tc>
          <w:tcPr>
            <w:tcW w:type="dxa" w:w="4320"/>
          </w:tcPr>
          <w:p>
            <w:r>
              <w:rPr>
                <w:b w:val="0"/>
              </w:rPr>
              <w:t>Mariage ou Pacs du salarié</w:t>
            </w:r>
          </w:p>
        </w:tc>
        <w:tc>
          <w:tcPr>
            <w:tcW w:type="dxa" w:w="4320"/>
          </w:tcPr>
          <w:p>
            <w:r>
              <w:rPr>
                <w:b w:val="0"/>
              </w:rPr>
              <w:t>4 jours ouvrés</w:t>
            </w:r>
          </w:p>
        </w:tc>
      </w:tr>
      <w:tr>
        <w:tc>
          <w:tcPr>
            <w:tcW w:type="dxa" w:w="4320"/>
          </w:tcPr>
          <w:p>
            <w:r>
              <w:rPr>
                <w:b w:val="0"/>
              </w:rPr>
              <w:t>Mariage d'un enfant</w:t>
            </w:r>
          </w:p>
        </w:tc>
        <w:tc>
          <w:tcPr>
            <w:tcW w:type="dxa" w:w="4320"/>
          </w:tcPr>
          <w:p>
            <w:r>
              <w:rPr>
                <w:b w:val="0"/>
              </w:rPr>
              <w:t>1 jour ouvré</w:t>
            </w:r>
          </w:p>
        </w:tc>
      </w:tr>
      <w:tr>
        <w:tc>
          <w:tcPr>
            <w:tcW w:type="dxa" w:w="4320"/>
          </w:tcPr>
          <w:p>
            <w:r>
              <w:rPr>
                <w:b w:val="0"/>
              </w:rPr>
              <w:t>Naissance</w:t>
            </w:r>
          </w:p>
        </w:tc>
        <w:tc>
          <w:tcPr>
            <w:tcW w:type="dxa" w:w="4320"/>
          </w:tcPr>
          <w:p>
            <w:r>
              <w:rPr>
                <w:b w:val="0"/>
              </w:rPr>
              <w:t>3 jours ouvrés consécutifs, à partir du jour de la naissance ou du premier jour ouvré qui suit, au choix du salarié</w:t>
            </w:r>
          </w:p>
        </w:tc>
      </w:tr>
      <w:tr>
        <w:tc>
          <w:tcPr>
            <w:tcW w:type="dxa" w:w="4320"/>
          </w:tcPr>
          <w:p>
            <w:r>
              <w:rPr>
                <w:b w:val="0"/>
              </w:rPr>
              <w:t>Adoption</w:t>
            </w:r>
          </w:p>
        </w:tc>
        <w:tc>
          <w:tcPr>
            <w:tcW w:type="dxa" w:w="4320"/>
          </w:tcPr>
          <w:p>
            <w:r>
              <w:rPr>
                <w:b w:val="0"/>
              </w:rPr>
              <w:t>3 jours ouvrés consécutifs, dans les 7 jours qui précèdent l'arrivée de l'enfant, le jour de son arrivée ou le premier jour ouvré qui suit</w:t>
            </w:r>
          </w:p>
        </w:tc>
      </w:tr>
      <w:tr>
        <w:tc>
          <w:tcPr>
            <w:tcW w:type="dxa" w:w="4320"/>
          </w:tcPr>
          <w:p>
            <w:r>
              <w:rPr>
                <w:b w:val="0"/>
              </w:rPr>
              <w:t>Annonce d'un handicap, d'une pathologie chronique ou d'un cancer chez un enfant</w:t>
            </w:r>
          </w:p>
        </w:tc>
        <w:tc>
          <w:tcPr>
            <w:tcW w:type="dxa" w:w="4320"/>
          </w:tcPr>
          <w:p>
            <w:r>
              <w:rPr>
                <w:b w:val="0"/>
              </w:rPr>
              <w:t>5 jours ouvrables selon l'avenant ; la loi du 12 juin 2026, postérieure et plus favorable, porte ce congé à 10 jours (voir le guide des congés Nexalis)</w:t>
            </w:r>
          </w:p>
        </w:tc>
      </w:tr>
      <w:tr>
        <w:tc>
          <w:tcPr>
            <w:tcW w:type="dxa" w:w="4320"/>
          </w:tcPr>
          <w:p>
            <w:r>
              <w:rPr>
                <w:b w:val="0"/>
              </w:rPr>
              <w:t>Maladie ou accident d'un enfant (certificat médical)</w:t>
            </w:r>
          </w:p>
        </w:tc>
        <w:tc>
          <w:tcPr>
            <w:tcW w:type="dxa" w:w="4320"/>
          </w:tcPr>
          <w:p>
            <w:r>
              <w:rPr>
                <w:b w:val="0"/>
              </w:rPr>
              <w:t>3 jours ouvrables non rémunérés ; 5 jours si l'enfant a moins d'un an ou si le salarié a au moins 3 enfants de moins de 16 ans</w:t>
            </w:r>
          </w:p>
        </w:tc>
      </w:tr>
    </w:tbl>
    <w:p>
      <w:pPr>
        <w:pStyle w:val="Heading2"/>
      </w:pPr>
      <w:r>
        <w:t>Décès</w:t>
      </w:r>
    </w:p>
    <w:tbl>
      <w:tblPr>
        <w:tblStyle w:val="TableGrid"/>
        <w:tblW w:type="auto" w:w="0"/>
        <w:tblLook w:firstColumn="1" w:firstRow="1" w:lastColumn="0" w:lastRow="0" w:noHBand="0" w:noVBand="1" w:val="04A0"/>
      </w:tblPr>
      <w:tblGrid>
        <w:gridCol w:w="4320"/>
        <w:gridCol w:w="4320"/>
      </w:tblGrid>
      <w:tr>
        <w:tc>
          <w:tcPr>
            <w:tcW w:type="dxa" w:w="4320"/>
          </w:tcPr>
          <w:p>
            <w:r>
              <w:rPr>
                <w:b/>
              </w:rPr>
              <w:t>Personne décédée</w:t>
            </w:r>
          </w:p>
        </w:tc>
        <w:tc>
          <w:tcPr>
            <w:tcW w:type="dxa" w:w="4320"/>
          </w:tcPr>
          <w:p>
            <w:r>
              <w:rPr>
                <w:b/>
              </w:rPr>
              <w:t>Durée</w:t>
            </w:r>
          </w:p>
        </w:tc>
      </w:tr>
      <w:tr>
        <w:tc>
          <w:tcPr>
            <w:tcW w:type="dxa" w:w="4320"/>
          </w:tcPr>
          <w:p>
            <w:r>
              <w:rPr>
                <w:b w:val="0"/>
              </w:rPr>
              <w:t>Conjoint, partenaire de Pacs ou concubin</w:t>
            </w:r>
          </w:p>
        </w:tc>
        <w:tc>
          <w:tcPr>
            <w:tcW w:type="dxa" w:w="4320"/>
          </w:tcPr>
          <w:p>
            <w:r>
              <w:rPr>
                <w:b w:val="0"/>
              </w:rPr>
              <w:t>3 jours ouvrés</w:t>
            </w:r>
          </w:p>
        </w:tc>
      </w:tr>
      <w:tr>
        <w:tc>
          <w:tcPr>
            <w:tcW w:type="dxa" w:w="4320"/>
          </w:tcPr>
          <w:p>
            <w:r>
              <w:rPr>
                <w:b w:val="0"/>
              </w:rPr>
              <w:t>Enfant de moins de 25 ans, ou personne de moins de 25 ans à la charge effective et permanente du salarié</w:t>
            </w:r>
          </w:p>
        </w:tc>
        <w:tc>
          <w:tcPr>
            <w:tcW w:type="dxa" w:w="4320"/>
          </w:tcPr>
          <w:p>
            <w:r>
              <w:rPr>
                <w:b w:val="0"/>
              </w:rPr>
              <w:t>14 jours ouvrés</w:t>
            </w:r>
          </w:p>
        </w:tc>
      </w:tr>
      <w:tr>
        <w:tc>
          <w:tcPr>
            <w:tcW w:type="dxa" w:w="4320"/>
          </w:tcPr>
          <w:p>
            <w:r>
              <w:rPr>
                <w:b w:val="0"/>
              </w:rPr>
              <w:t>Enfant de 25 ans ou plus</w:t>
            </w:r>
          </w:p>
        </w:tc>
        <w:tc>
          <w:tcPr>
            <w:tcW w:type="dxa" w:w="4320"/>
          </w:tcPr>
          <w:p>
            <w:r>
              <w:rPr>
                <w:b w:val="0"/>
              </w:rPr>
              <w:t>12 jours ouvrés</w:t>
            </w:r>
          </w:p>
        </w:tc>
      </w:tr>
      <w:tr>
        <w:tc>
          <w:tcPr>
            <w:tcW w:type="dxa" w:w="4320"/>
          </w:tcPr>
          <w:p>
            <w:r>
              <w:rPr>
                <w:b w:val="0"/>
              </w:rPr>
              <w:t>Enfant lui-même parent</w:t>
            </w:r>
          </w:p>
        </w:tc>
        <w:tc>
          <w:tcPr>
            <w:tcW w:type="dxa" w:w="4320"/>
          </w:tcPr>
          <w:p>
            <w:r>
              <w:rPr>
                <w:b w:val="0"/>
              </w:rPr>
              <w:t>14 jours ouvrés</w:t>
            </w:r>
          </w:p>
        </w:tc>
      </w:tr>
      <w:tr>
        <w:tc>
          <w:tcPr>
            <w:tcW w:type="dxa" w:w="4320"/>
          </w:tcPr>
          <w:p>
            <w:r>
              <w:rPr>
                <w:b w:val="0"/>
              </w:rPr>
              <w:t>Père ou mère</w:t>
            </w:r>
          </w:p>
        </w:tc>
        <w:tc>
          <w:tcPr>
            <w:tcW w:type="dxa" w:w="4320"/>
          </w:tcPr>
          <w:p>
            <w:r>
              <w:rPr>
                <w:b w:val="0"/>
              </w:rPr>
              <w:t>3 jours ouvrés</w:t>
            </w:r>
          </w:p>
        </w:tc>
      </w:tr>
      <w:tr>
        <w:tc>
          <w:tcPr>
            <w:tcW w:type="dxa" w:w="4320"/>
          </w:tcPr>
          <w:p>
            <w:r>
              <w:rPr>
                <w:b w:val="0"/>
              </w:rPr>
              <w:t>Frère ou sœur</w:t>
            </w:r>
          </w:p>
        </w:tc>
        <w:tc>
          <w:tcPr>
            <w:tcW w:type="dxa" w:w="4320"/>
          </w:tcPr>
          <w:p>
            <w:r>
              <w:rPr>
                <w:b w:val="0"/>
              </w:rPr>
              <w:t>3 jours ouvrés</w:t>
            </w:r>
          </w:p>
        </w:tc>
      </w:tr>
      <w:tr>
        <w:tc>
          <w:tcPr>
            <w:tcW w:type="dxa" w:w="4320"/>
          </w:tcPr>
          <w:p>
            <w:r>
              <w:rPr>
                <w:b w:val="0"/>
              </w:rPr>
              <w:t>Beau-père ou belle-mère</w:t>
            </w:r>
          </w:p>
        </w:tc>
        <w:tc>
          <w:tcPr>
            <w:tcW w:type="dxa" w:w="4320"/>
          </w:tcPr>
          <w:p>
            <w:r>
              <w:rPr>
                <w:b w:val="0"/>
              </w:rPr>
              <w:t>3 jours ouvrés</w:t>
            </w:r>
          </w:p>
        </w:tc>
      </w:tr>
      <w:tr>
        <w:tc>
          <w:tcPr>
            <w:tcW w:type="dxa" w:w="4320"/>
          </w:tcPr>
          <w:p>
            <w:r>
              <w:rPr>
                <w:b w:val="0"/>
              </w:rPr>
              <w:t>Autres ascendants (grands-parents…)</w:t>
            </w:r>
          </w:p>
        </w:tc>
        <w:tc>
          <w:tcPr>
            <w:tcW w:type="dxa" w:w="4320"/>
          </w:tcPr>
          <w:p>
            <w:r>
              <w:rPr>
                <w:b w:val="0"/>
              </w:rPr>
              <w:t>2 jours ouvrés</w:t>
            </w:r>
          </w:p>
        </w:tc>
      </w:tr>
    </w:tbl>
    <w:p>
      <w:r>
        <w:rPr>
          <w:b w:val="0"/>
        </w:rPr>
        <w:t xml:space="preserve">En plus, après le décès d'un enfant de moins de 25 ans (ou d'une personne de moins de 25 ans à charge), le salarié a droit à un </w:t>
      </w:r>
      <w:r>
        <w:rPr>
          <w:b/>
        </w:rPr>
        <w:t>congé de deuil de 8 jours ouvrables</w:t>
      </w:r>
      <w:r>
        <w:rPr>
          <w:b w:val="0"/>
        </w:rPr>
        <w:t>, à prendre dans l'année qui suit le décès. Il peut être fractionné, en prévenant l'employeur au moins 24 heures avant chaque absence.</w:t>
      </w:r>
    </w:p>
    <w:p>
      <w:r>
        <w:rPr>
          <w:b w:val="0"/>
        </w:rPr>
        <w:t>Si le conjoint, un ascendant ou un descendant direct décède pendant que le salarié est en déplacement professionnel, en France ou à l'étranger, l'entreprise prend en charge ses frais de retour.</w:t>
      </w:r>
    </w:p>
    <w:p>
      <w:pPr>
        <w:pStyle w:val="Heading1"/>
      </w:pPr>
      <w:r>
        <w:t>2. Grossesse et maternité</w:t>
      </w:r>
    </w:p>
    <w:p>
      <w:pPr>
        <w:pStyle w:val="ListBullet"/>
      </w:pPr>
      <w:r>
        <w:rPr>
          <w:b/>
        </w:rPr>
        <w:t>Réduction d'horaire payée</w:t>
      </w:r>
      <w:r>
        <w:rPr>
          <w:b w:val="0"/>
        </w:rPr>
        <w:t xml:space="preserve"> : 20 minutes par jour à partir du 3e mois de grossesse, puis 30 minutes par jour à partir du 5e mois.</w:t>
      </w:r>
    </w:p>
    <w:p>
      <w:pPr>
        <w:pStyle w:val="ListBullet"/>
      </w:pPr>
      <w:r>
        <w:rPr>
          <w:b/>
        </w:rPr>
        <w:t>Forfait jours</w:t>
      </w:r>
      <w:r>
        <w:rPr>
          <w:b w:val="0"/>
        </w:rPr>
        <w:t xml:space="preserve"> : l'employeur adapte la charge de travail et s'assure par écrit que l'amplitude des journées reste compatible avec la vie personnelle.</w:t>
      </w:r>
    </w:p>
    <w:p>
      <w:pPr>
        <w:pStyle w:val="ListBullet"/>
      </w:pPr>
      <w:r>
        <w:rPr>
          <w:b/>
        </w:rPr>
        <w:t>Examens médicaux obligatoires</w:t>
      </w:r>
      <w:r>
        <w:rPr>
          <w:b w:val="0"/>
        </w:rPr>
        <w:t xml:space="preserve"> et actes liés à une assistance médicale à la procréation : absences autorisées, sans perte de salaire.</w:t>
      </w:r>
    </w:p>
    <w:p>
      <w:pPr>
        <w:pStyle w:val="ListBullet"/>
      </w:pPr>
      <w:r>
        <w:rPr>
          <w:b/>
        </w:rPr>
        <w:t>Salaire pendant le congé de maternité</w:t>
      </w:r>
      <w:r>
        <w:rPr>
          <w:b w:val="0"/>
        </w:rPr>
        <w:t xml:space="preserve"> : maintien intégral du salaire mensuel, sous déduction des indemnités de la Sécurité sociale et de la prévoyance, si la salariée a </w:t>
      </w:r>
      <w:r>
        <w:rPr>
          <w:b/>
        </w:rPr>
        <w:t>plus d'un an d'ancienneté</w:t>
      </w:r>
      <w:r>
        <w:rPr>
          <w:b w:val="0"/>
        </w:rPr>
        <w:t xml:space="preserve"> au début du congé. Si l'année d'ancienneté est atteinte pendant le congé, le maintien s'applique à partir de cette date.</w:t>
      </w:r>
    </w:p>
    <w:p>
      <w:pPr>
        <w:pStyle w:val="ListBullet"/>
      </w:pPr>
      <w:r>
        <w:rPr>
          <w:b/>
        </w:rPr>
        <w:t>Allaitement</w:t>
      </w:r>
      <w:r>
        <w:rPr>
          <w:b w:val="0"/>
        </w:rPr>
        <w:t xml:space="preserve"> : pendant un an après la naissance, une heure par jour sur le temps de travail, sans réduction de salaire.</w:t>
      </w:r>
    </w:p>
    <w:p>
      <w:pPr>
        <w:pStyle w:val="Heading1"/>
      </w:pPr>
      <w:r>
        <w:t>3. Paternité et accueil de l'enfant</w:t>
      </w:r>
    </w:p>
    <w:p>
      <w:pPr>
        <w:pStyle w:val="ListBullet"/>
      </w:pPr>
      <w:r>
        <w:rPr>
          <w:b w:val="0"/>
        </w:rPr>
        <w:t xml:space="preserve">Le conjoint, partenaire de Pacs ou concubin d'une femme enceinte peut s'absenter pour accompagner </w:t>
      </w:r>
      <w:r>
        <w:rPr>
          <w:b/>
        </w:rPr>
        <w:t>3 examens médicaux obligatoires</w:t>
      </w:r>
      <w:r>
        <w:rPr>
          <w:b w:val="0"/>
        </w:rPr>
        <w:t xml:space="preserve"> au maximum (ou 3 actes par protocole d'assistance médicale à la procréation), sans perte de salaire.</w:t>
      </w:r>
    </w:p>
    <w:p>
      <w:pPr>
        <w:pStyle w:val="ListBullet"/>
      </w:pPr>
      <w:r>
        <w:rPr>
          <w:b/>
        </w:rPr>
        <w:t>Salaire pendant le congé de paternité</w:t>
      </w:r>
      <w:r>
        <w:rPr>
          <w:b w:val="0"/>
        </w:rPr>
        <w:t xml:space="preserve"> : l'employeur complète les indemnités de la Sécurité sociale jusqu'à </w:t>
      </w:r>
      <w:r>
        <w:rPr>
          <w:b/>
        </w:rPr>
        <w:t>100 % du salaire de base</w:t>
      </w:r>
      <w:r>
        <w:rPr>
          <w:b w:val="0"/>
        </w:rPr>
        <w:t xml:space="preserve"> (primes exclues), pour les salariés ayant </w:t>
      </w:r>
      <w:r>
        <w:rPr>
          <w:b/>
        </w:rPr>
        <w:t>au moins un an d'ancienneté</w:t>
      </w:r>
      <w:r>
        <w:rPr>
          <w:b w:val="0"/>
        </w:rPr>
        <w:t>. Ce complément est plafonné à la valeur journalière du plafond de la Sécurité sociale, et l'ensemble ne peut pas dépasser le salaire net journalier.</w:t>
      </w:r>
    </w:p>
    <w:p>
      <w:pPr>
        <w:pStyle w:val="Heading1"/>
      </w:pPr>
      <w:r>
        <w:t>4. Adoption et non-discrimination</w:t>
      </w:r>
    </w:p>
    <w:p>
      <w:r>
        <w:rPr>
          <w:b w:val="0"/>
        </w:rPr>
        <w:t>Les salariés engagés dans une démarche d'adoption peuvent s'absenter, sans perte de salaire, pour les entretiens obligatoires de l'agrément. En congé d'adoption, ils bénéficient des mêmes avantages que ceux prévus pour le congé de maternité.</w:t>
      </w:r>
    </w:p>
    <w:p>
      <w:r>
        <w:rPr>
          <w:b w:val="0"/>
        </w:rPr>
        <w:t>Aucune décision (embauche, salaire, promotion, mutation…) ne peut être fondée sur la situation de famille, une grossesse ou un projet parental (procréation médicalement assistée, adoption), et aucune information sur un projet parental ne peut être demandée au salarié.</w:t>
      </w:r>
    </w:p>
    <w:p>
      <w:pPr>
        <w:pStyle w:val="Heading1"/>
      </w:pPr>
      <w:r>
        <w:t>5. Comment faire ?</w:t>
      </w:r>
    </w:p>
    <w:p>
      <w:r>
        <w:rPr>
          <w:b w:val="0"/>
        </w:rPr>
        <w:t>Prévenez votre manager et déclarez l'absence dans l'outil RH en joignant le justificatif (acte de mariage, de naissance, de décès, certificat médical…). Les jours sont pris au moment de l'événement, dans une période raisonnable autour de celui-ci.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 interne fictif (projet pédagogique Ynov). Sources : Avenant n° 49 du 22 octobre 2025 relatif à la parentalité et aux évènements familiaux, qui réécrit les articles 5.7 et 9.3 de la convention Syntec (IDCC 1486) ; étendu par arrêté du 26 mars 2026 (JORF du 4 avril 2026), applicable le premier jour du mois suivant, soit le 1er mai 2026 (Légifrance, consulté le 15/10/2026) ; fiche « Congés pour événements familiaux » IDCC 1486 du Code du travail numérique (mise à jour du 15/06/2026).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Syntec — Événements familiaux et parentalité (avenant n° 49)</dc:title>
  <dc:subject/>
  <dc:creator>Nexalis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