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Syntec — Égalité professionnelle entre les femmes et les hommes</w:t>
      </w:r>
    </w:p>
    <w:p>
      <w:r>
        <w:rPr>
          <w:b w:val="0"/>
        </w:rPr>
        <w:t>Nexalis Conseil — Direction des ressources humaines. Fiche de synthèse de l'accord de branche Syntec du 22 octobre 2025, applicable depuis le 1er septembre 2026 pour une durée de 4 ans.</w:t>
      </w:r>
    </w:p>
    <w:p>
      <w:pPr>
        <w:pStyle w:val="Heading1"/>
      </w:pPr>
      <w:r>
        <w:t>1. Le constat de la branche</w:t>
      </w:r>
    </w:p>
    <w:p>
      <w:r>
        <w:rPr>
          <w:b w:val="0"/>
        </w:rPr>
        <w:t xml:space="preserve">Selon le rapport de situation comparée de la branche (2025), l'écart de salaire brut moyen entre les femmes et les hommes était estimé à </w:t>
      </w:r>
      <w:r>
        <w:rPr>
          <w:b/>
        </w:rPr>
        <w:t>18 %</w:t>
      </w:r>
      <w:r>
        <w:rPr>
          <w:b w:val="0"/>
        </w:rPr>
        <w:t xml:space="preserve"> en 2023. L'accord précise que l'écart est de </w:t>
      </w:r>
      <w:r>
        <w:rPr>
          <w:b/>
        </w:rPr>
        <w:t>2 %</w:t>
      </w:r>
      <w:r>
        <w:rPr>
          <w:b w:val="0"/>
        </w:rPr>
        <w:t xml:space="preserve"> chez les cadres et de </w:t>
      </w:r>
      <w:r>
        <w:rPr>
          <w:b/>
        </w:rPr>
        <w:t>7 %</w:t>
      </w:r>
      <w:r>
        <w:rPr>
          <w:b w:val="0"/>
        </w:rPr>
        <w:t xml:space="preserve"> chez les non-cadres. Il peut apparaître dès les premières années de carrière, notamment avant 26 ans.</w:t>
      </w:r>
    </w:p>
    <w:p>
      <w:pPr>
        <w:pStyle w:val="Heading1"/>
      </w:pPr>
      <w:r>
        <w:t>2. L'égalité de rémunération</w:t>
      </w:r>
    </w:p>
    <w:p>
      <w:pPr>
        <w:pStyle w:val="ListBullet"/>
      </w:pPr>
      <w:r>
        <w:rPr>
          <w:b w:val="0"/>
        </w:rPr>
        <w:t xml:space="preserve">À travail égal ou de </w:t>
      </w:r>
      <w:r>
        <w:rPr>
          <w:b/>
        </w:rPr>
        <w:t>valeur égale</w:t>
      </w:r>
      <w:r>
        <w:rPr>
          <w:b w:val="0"/>
        </w:rPr>
        <w:t>, la rémunération doit être égale. Des travaux de valeur égale demandent un ensemble comparable de connaissances, d'expérience, de responsabilités et de charge physique ou nerveuse.</w:t>
      </w:r>
    </w:p>
    <w:p>
      <w:pPr>
        <w:pStyle w:val="ListBullet"/>
      </w:pPr>
      <w:r>
        <w:rPr>
          <w:b w:val="0"/>
        </w:rPr>
        <w:t xml:space="preserve">Le principe vaut aussi pour les </w:t>
      </w:r>
      <w:r>
        <w:rPr>
          <w:b/>
        </w:rPr>
        <w:t>primes sur objectifs</w:t>
      </w:r>
      <w:r>
        <w:rPr>
          <w:b w:val="0"/>
        </w:rPr>
        <w:t>, dont les critères doivent être objectifs, transparents et non discriminants.</w:t>
      </w:r>
    </w:p>
    <w:p>
      <w:pPr>
        <w:pStyle w:val="ListBullet"/>
      </w:pPr>
      <w:r>
        <w:rPr>
          <w:b w:val="0"/>
        </w:rPr>
        <w:t xml:space="preserve">À l'embauche, un même emploi donne lieu au </w:t>
      </w:r>
      <w:r>
        <w:rPr>
          <w:b/>
        </w:rPr>
        <w:t>même classement</w:t>
      </w:r>
      <w:r>
        <w:rPr>
          <w:b w:val="0"/>
        </w:rPr>
        <w:t xml:space="preserve"> dans la grille de la convention.</w:t>
      </w:r>
    </w:p>
    <w:p>
      <w:pPr>
        <w:pStyle w:val="ListBullet"/>
      </w:pPr>
      <w:r>
        <w:rPr>
          <w:b w:val="0"/>
        </w:rPr>
        <w:t xml:space="preserve">Lors des révisions de salaires, les entreprises qui le peuvent comparent les augmentations par catégorie et s'assurent que la </w:t>
      </w:r>
      <w:r>
        <w:rPr>
          <w:b/>
        </w:rPr>
        <w:t>médiane des augmentations individuelles des femmes</w:t>
      </w:r>
      <w:r>
        <w:rPr>
          <w:b w:val="0"/>
        </w:rPr>
        <w:t xml:space="preserve"> est équivalente à celle des hommes. Les salariés à temps partiel, majoritairement des femmes, font l'objet d'une vigilance particulière.</w:t>
      </w:r>
    </w:p>
    <w:p>
      <w:pPr>
        <w:pStyle w:val="ListBullet"/>
      </w:pPr>
      <w:r>
        <w:rPr>
          <w:b w:val="0"/>
        </w:rPr>
        <w:t>Les managers sont sensibilisés ou formés, notamment avant les campagnes d'évaluation et d'augmentation (catalogue de formations de l'opérateur de compétences Atlas, par exemple).</w:t>
      </w:r>
    </w:p>
    <w:p>
      <w:pPr>
        <w:pStyle w:val="Heading1"/>
      </w:pPr>
      <w:r>
        <w:t>3. Le retour de congé de maternité ou d'adoption</w:t>
      </w:r>
    </w:p>
    <w:p>
      <w:r>
        <w:rPr>
          <w:b w:val="0"/>
        </w:rPr>
        <w:t>Au retour, la personne bénéficie :</w:t>
      </w:r>
    </w:p>
    <w:p>
      <w:pPr>
        <w:pStyle w:val="ListBullet"/>
      </w:pPr>
      <w:r>
        <w:rPr>
          <w:b w:val="0"/>
        </w:rPr>
        <w:t xml:space="preserve">des </w:t>
      </w:r>
      <w:r>
        <w:rPr>
          <w:b/>
        </w:rPr>
        <w:t>augmentations générales</w:t>
      </w:r>
      <w:r>
        <w:rPr>
          <w:b w:val="0"/>
        </w:rPr>
        <w:t xml:space="preserve"> décidées pendant son absence ;</w:t>
      </w:r>
    </w:p>
    <w:p>
      <w:pPr>
        <w:pStyle w:val="ListBullet"/>
      </w:pPr>
      <w:r>
        <w:rPr>
          <w:b w:val="0"/>
        </w:rPr>
        <w:t xml:space="preserve">de la </w:t>
      </w:r>
      <w:r>
        <w:rPr>
          <w:b/>
        </w:rPr>
        <w:t>moyenne</w:t>
      </w:r>
      <w:r>
        <w:rPr>
          <w:b w:val="0"/>
        </w:rPr>
        <w:t xml:space="preserve"> des augmentations individuelles perçues pendant le congé par les salariés de la même catégorie, à ancienneté et compétence équivalentes, </w:t>
      </w:r>
      <w:r>
        <w:rPr>
          <w:b/>
        </w:rPr>
        <w:t>ou de la médiane</w:t>
      </w:r>
      <w:r>
        <w:rPr>
          <w:b w:val="0"/>
        </w:rPr>
        <w:t xml:space="preserve"> si elle lui est plus favorable.</w:t>
      </w:r>
    </w:p>
    <w:p>
      <w:r>
        <w:rPr>
          <w:b w:val="0"/>
        </w:rPr>
        <w:t xml:space="preserve">Les congés de maternité, de paternité ou d'adoption ne peuvent pas servir à limiter ou annuler une augmentation. Au retour d'un congé de maternité, parental ou d'adoption, un </w:t>
      </w:r>
      <w:r>
        <w:rPr>
          <w:b/>
        </w:rPr>
        <w:t>entretien professionnel</w:t>
      </w:r>
      <w:r>
        <w:rPr>
          <w:b w:val="0"/>
        </w:rPr>
        <w:t xml:space="preserve"> est organisé.</w:t>
      </w:r>
    </w:p>
    <w:p>
      <w:pPr>
        <w:pStyle w:val="Heading1"/>
      </w:pPr>
      <w:r>
        <w:t>4. L'index de l'égalité professionnelle</w:t>
      </w:r>
    </w:p>
    <w:p>
      <w:r>
        <w:rPr>
          <w:b w:val="0"/>
        </w:rPr>
        <w:t xml:space="preserve">Les entreprises d'au moins </w:t>
      </w:r>
      <w:r>
        <w:rPr>
          <w:b/>
        </w:rPr>
        <w:t>50 salariés</w:t>
      </w:r>
      <w:r>
        <w:rPr>
          <w:b w:val="0"/>
        </w:rPr>
        <w:t xml:space="preserve"> calculent chaque année l'index de l'égalité professionnelle (écart de rémunération, écart d'augmentations, augmentations au retour de congé de maternité, part du sexe sous-représenté parmi les 10 plus hautes rémunérations ; écart de promotions en plus au-delà de 250 salariés). Les résultats sont publiés au plus tard le </w:t>
      </w:r>
      <w:r>
        <w:rPr>
          <w:b/>
        </w:rPr>
        <w:t>1er mars</w:t>
      </w:r>
      <w:r>
        <w:rPr>
          <w:b w:val="0"/>
        </w:rPr>
        <w:t>.</w:t>
      </w:r>
    </w:p>
    <w:p>
      <w:pPr>
        <w:pStyle w:val="ListBullet"/>
      </w:pPr>
      <w:r>
        <w:rPr>
          <w:b w:val="0"/>
        </w:rPr>
        <w:t xml:space="preserve">Note globale inférieure à </w:t>
      </w:r>
      <w:r>
        <w:rPr>
          <w:b/>
        </w:rPr>
        <w:t>75 points</w:t>
      </w:r>
      <w:r>
        <w:rPr>
          <w:b w:val="0"/>
        </w:rPr>
        <w:t xml:space="preserve"> : mesures de correction obligatoires.</w:t>
      </w:r>
    </w:p>
    <w:p>
      <w:pPr>
        <w:pStyle w:val="ListBullet"/>
      </w:pPr>
      <w:r>
        <w:rPr>
          <w:b w:val="0"/>
        </w:rPr>
        <w:t xml:space="preserve">Note entre </w:t>
      </w:r>
      <w:r>
        <w:rPr>
          <w:b/>
        </w:rPr>
        <w:t>75 et 85 points</w:t>
      </w:r>
      <w:r>
        <w:rPr>
          <w:b w:val="0"/>
        </w:rPr>
        <w:t xml:space="preserve"> : objectifs de progression pour chaque indicateur non maximal.</w:t>
      </w:r>
    </w:p>
    <w:p>
      <w:pPr>
        <w:pStyle w:val="Heading1"/>
      </w:pPr>
      <w:r>
        <w:t>5. La santé des salariées enceintes</w:t>
      </w:r>
    </w:p>
    <w:p>
      <w:pPr>
        <w:pStyle w:val="ListBullet"/>
      </w:pPr>
      <w:r>
        <w:rPr>
          <w:b w:val="0"/>
        </w:rPr>
        <w:t>Absences autorisées et payées pour les examens médicaux obligatoires, y compris l'examen postnatal ; le conjoint peut accompagner 3 examens.</w:t>
      </w:r>
    </w:p>
    <w:p>
      <w:pPr>
        <w:pStyle w:val="ListBullet"/>
      </w:pPr>
      <w:r>
        <w:rPr>
          <w:b w:val="0"/>
        </w:rPr>
        <w:t>Réductions d'horaire prévues par la convention (20 puis 30 minutes par jour) et vigilance sur la charge de travail au forfait jours.</w:t>
      </w:r>
    </w:p>
    <w:p>
      <w:pPr>
        <w:pStyle w:val="ListBullet"/>
      </w:pPr>
      <w:r>
        <w:rPr>
          <w:b w:val="0"/>
        </w:rPr>
        <w:t xml:space="preserve">Possibilité de demander le </w:t>
      </w:r>
      <w:r>
        <w:rPr>
          <w:b/>
        </w:rPr>
        <w:t>télétravail à partir du 3e mois</w:t>
      </w:r>
      <w:r>
        <w:rPr>
          <w:b w:val="0"/>
        </w:rPr>
        <w:t xml:space="preserve"> de grossesse ; un refus doit être motivé par des raisons objectives.</w:t>
      </w:r>
    </w:p>
    <w:p>
      <w:pPr>
        <w:pStyle w:val="ListBullet"/>
      </w:pPr>
      <w:r>
        <w:rPr>
          <w:b w:val="0"/>
        </w:rPr>
        <w:t>Une heure par jour pour l'allaitement pendant un an.</w:t>
      </w:r>
    </w:p>
    <w:p>
      <w:pPr>
        <w:pStyle w:val="Heading1"/>
      </w:pPr>
      <w:r>
        <w:t>6. Parentalité et aidants</w:t>
      </w:r>
    </w:p>
    <w:p>
      <w:pPr>
        <w:pStyle w:val="ListBullet"/>
      </w:pPr>
      <w:r>
        <w:rPr>
          <w:b w:val="0"/>
        </w:rPr>
        <w:t>Aucune information sur un projet parental (grossesse, procréation médicalement assistée, adoption) ne peut être demandée ni utilisée de façon discriminatoire. La loi du 30 juin 2025 étend les protections des salariées enceintes aux personnes engagées dans une PMA ou une adoption.</w:t>
      </w:r>
    </w:p>
    <w:p>
      <w:pPr>
        <w:pStyle w:val="ListBullet"/>
      </w:pPr>
      <w:r>
        <w:rPr>
          <w:b/>
        </w:rPr>
        <w:t>Protection contre le licenciement</w:t>
      </w:r>
      <w:r>
        <w:rPr>
          <w:b w:val="0"/>
        </w:rPr>
        <w:t xml:space="preserve"> : pendant la grossesse, le congé de maternité, les congés payés qui le suivent et les 10 semaines après ; pour le père, pendant les 10 semaines qui suivent la naissance (sauf faute grave ou motif étranger à la naissance).</w:t>
      </w:r>
    </w:p>
    <w:p>
      <w:pPr>
        <w:pStyle w:val="ListBullet"/>
      </w:pPr>
      <w:r>
        <w:rPr>
          <w:b w:val="0"/>
        </w:rPr>
        <w:t>Le congé de paternité est encouragé (remplacements, aménagements d'organisation).</w:t>
      </w:r>
    </w:p>
    <w:p>
      <w:pPr>
        <w:pStyle w:val="ListBullet"/>
      </w:pPr>
      <w:r>
        <w:rPr>
          <w:b w:val="0"/>
        </w:rPr>
        <w:t xml:space="preserve">Les </w:t>
      </w:r>
      <w:r>
        <w:rPr>
          <w:b/>
        </w:rPr>
        <w:t>proches aidants</w:t>
      </w:r>
      <w:r>
        <w:rPr>
          <w:b w:val="0"/>
        </w:rPr>
        <w:t xml:space="preserve"> peuvent demander un rythme de télétravail individualisé ; le régime de prévoyance de la branche propose des aides sous condition de ressources.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Document interne fictif (projet pédagogique Ynov). Sources : Accord de branche Syntec du 22 octobre 2025 relatif à la lutte contre les inégalités professionnelles entre les femmes et les hommes (IDCC 1486), conclu pour 4 ans, étendu par arrêté du 21 juillet 2026 (JORF du 4 août 2026) et applicable le premier jour du mois suivant, articles 3, 4 et 7 à 9 ; accord du 26 juin 2024 sur les salaires minimaux, article 2 (Légifrance, consulté le 15/10/2026).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Syntec — Égalité professionnelle entre les femmes et les hommes (accord 2025)</dc:title>
  <dc:subject/>
  <dc:creator>Nexalis Conseil</dc:creator>
  <cp:keywords/>
  <dc:description>generated by python-docx</dc:description>
  <cp:lastModifiedBy/>
  <cp:revision>1</cp:revision>
  <dcterms:created xsi:type="dcterms:W3CDTF">2013-12-23T23:15:00Z</dcterms:created>
  <dcterms:modified xsi:type="dcterms:W3CDTF">2013-12-23T23:15:00Z</dcterms:modified>
  <cp:category/>
</cp:coreProperties>
</file>