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Syntec — Indemnités de licenciement, départ et mise à la retraite</w:t>
      </w:r>
    </w:p>
    <w:p>
      <w:r>
        <w:rPr>
          <w:b w:val="0"/>
        </w:rPr>
        <w:t>Nexalis Conseil — Direction des ressources humaines. Fiche de synthèse de la convention collective Syntec (IDCC 1486), à jour au 15 octobre 2026.</w:t>
      </w:r>
    </w:p>
    <w:p>
      <w:pPr>
        <w:pStyle w:val="Heading1"/>
      </w:pPr>
      <w:r>
        <w:t>1. L'indemnité de licenciement</w:t>
      </w:r>
    </w:p>
    <w:p>
      <w:pPr>
        <w:pStyle w:val="Heading2"/>
      </w:pPr>
      <w:r>
        <w:t>Qui y a droit ?</w:t>
      </w:r>
    </w:p>
    <w:p>
      <w:r>
        <w:rPr>
          <w:b w:val="0"/>
        </w:rPr>
        <w:t xml:space="preserve">Tout salarié licencié qui a au moins </w:t>
      </w:r>
      <w:r>
        <w:rPr>
          <w:b/>
        </w:rPr>
        <w:t>8 mois d'ancienneté ininterrompue</w:t>
      </w:r>
      <w:r>
        <w:rPr>
          <w:b w:val="0"/>
        </w:rPr>
        <w:t>, sauf faute grave ou lourde. Elle s'ajoute à l'éventuelle indemnité compensatrice de préavis.</w:t>
      </w:r>
    </w:p>
    <w:p>
      <w:pPr>
        <w:pStyle w:val="Heading2"/>
      </w:pPr>
      <w:r>
        <w:t>Montant</w:t>
      </w:r>
    </w:p>
    <w:p>
      <w:r>
        <w:rPr>
          <w:b w:val="0"/>
        </w:rPr>
        <w:t>Elle se calcule en mois de salaire par année de présence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Catégorie</w:t>
            </w:r>
          </w:p>
        </w:tc>
        <w:tc>
          <w:tcPr>
            <w:tcW w:type="dxa" w:w="2880"/>
          </w:tcPr>
          <w:p>
            <w:r>
              <w:rPr>
                <w:b/>
              </w:rPr>
              <w:t>Ancienneté</w:t>
            </w:r>
          </w:p>
        </w:tc>
        <w:tc>
          <w:tcPr>
            <w:tcW w:type="dxa" w:w="2880"/>
          </w:tcPr>
          <w:p>
            <w:r>
              <w:rPr>
                <w:b/>
              </w:rPr>
              <w:t>Montant par année de présence</w:t>
            </w:r>
          </w:p>
        </w:tc>
      </w:tr>
      <w:tr>
        <w:tc>
          <w:tcPr>
            <w:tcW w:type="dxa" w:w="2880"/>
          </w:tcPr>
          <w:p>
            <w:r>
              <w:rPr>
                <w:b w:val="0"/>
              </w:rPr>
              <w:t>ETAM</w:t>
            </w:r>
          </w:p>
        </w:tc>
        <w:tc>
          <w:tcPr>
            <w:tcW w:type="dxa" w:w="2880"/>
          </w:tcPr>
          <w:p>
            <w:r>
              <w:rPr>
                <w:b w:val="0"/>
              </w:rPr>
              <w:t>jusqu'à 10 ans</w:t>
            </w:r>
          </w:p>
        </w:tc>
        <w:tc>
          <w:tcPr>
            <w:tcW w:type="dxa" w:w="2880"/>
          </w:tcPr>
          <w:p>
            <w:r>
              <w:rPr>
                <w:b w:val="0"/>
              </w:rPr>
              <w:t>1/4 de mois</w:t>
            </w:r>
          </w:p>
        </w:tc>
      </w:tr>
      <w:tr>
        <w:tc>
          <w:tcPr>
            <w:tcW w:type="dxa" w:w="2880"/>
          </w:tcPr>
          <w:p>
            <w:r>
              <w:rPr>
                <w:b w:val="0"/>
              </w:rPr>
              <w:t>ETAM</w:t>
            </w:r>
          </w:p>
        </w:tc>
        <w:tc>
          <w:tcPr>
            <w:tcW w:type="dxa" w:w="2880"/>
          </w:tcPr>
          <w:p>
            <w:r>
              <w:rPr>
                <w:b w:val="0"/>
              </w:rPr>
              <w:t>après 10 ans</w:t>
            </w:r>
          </w:p>
        </w:tc>
        <w:tc>
          <w:tcPr>
            <w:tcW w:type="dxa" w:w="2880"/>
          </w:tcPr>
          <w:p>
            <w:r>
              <w:rPr>
                <w:b w:val="0"/>
              </w:rPr>
              <w:t>1/3 de mois</w:t>
            </w:r>
          </w:p>
        </w:tc>
      </w:tr>
      <w:tr>
        <w:tc>
          <w:tcPr>
            <w:tcW w:type="dxa" w:w="2880"/>
          </w:tcPr>
          <w:p>
            <w:r>
              <w:rPr>
                <w:b w:val="0"/>
              </w:rPr>
              <w:t>Ingénieurs et cadres</w:t>
            </w:r>
          </w:p>
        </w:tc>
        <w:tc>
          <w:tcPr>
            <w:tcW w:type="dxa" w:w="2880"/>
          </w:tcPr>
          <w:p>
            <w:r>
              <w:rPr>
                <w:b w:val="0"/>
              </w:rPr>
              <w:t>moins de 2 ans</w:t>
            </w:r>
          </w:p>
        </w:tc>
        <w:tc>
          <w:tcPr>
            <w:tcW w:type="dxa" w:w="2880"/>
          </w:tcPr>
          <w:p>
            <w:r>
              <w:rPr>
                <w:b w:val="0"/>
              </w:rPr>
              <w:t>1/4 de mois</w:t>
            </w:r>
          </w:p>
        </w:tc>
      </w:tr>
      <w:tr>
        <w:tc>
          <w:tcPr>
            <w:tcW w:type="dxa" w:w="2880"/>
          </w:tcPr>
          <w:p>
            <w:r>
              <w:rPr>
                <w:b w:val="0"/>
              </w:rPr>
              <w:t>Ingénieurs et cadres</w:t>
            </w:r>
          </w:p>
        </w:tc>
        <w:tc>
          <w:tcPr>
            <w:tcW w:type="dxa" w:w="2880"/>
          </w:tcPr>
          <w:p>
            <w:r>
              <w:rPr>
                <w:b w:val="0"/>
              </w:rPr>
              <w:t>2 ans ou plus</w:t>
            </w:r>
          </w:p>
        </w:tc>
        <w:tc>
          <w:tcPr>
            <w:tcW w:type="dxa" w:w="2880"/>
          </w:tcPr>
          <w:p>
            <w:r>
              <w:rPr>
                <w:b w:val="0"/>
              </w:rPr>
              <w:t>1/3 de mois</w:t>
            </w:r>
          </w:p>
        </w:tc>
      </w:tr>
    </w:tbl>
    <w:p>
      <w:r>
        <w:rPr>
          <w:b w:val="0"/>
        </w:rPr>
        <w:t xml:space="preserve">Le </w:t>
      </w:r>
      <w:r>
        <w:rPr>
          <w:b/>
        </w:rPr>
        <w:t>mois de salaire de référence</w:t>
      </w:r>
      <w:r>
        <w:rPr>
          <w:b w:val="0"/>
        </w:rPr>
        <w:t xml:space="preserve"> est le douzième de la rémunération des 12 derniers mois avant la notification du licenciement, primes prévues au contrat comprises, mais sans les majorations d'heures supplémentaires ni les indemnités de déplacement. Les années incomplètes sont comptées au prorata des mois de présence.</w:t>
      </w:r>
    </w:p>
    <w:p>
      <w:r>
        <w:rPr>
          <w:b w:val="0"/>
        </w:rPr>
        <w:t>L'employeur verse le plus élevé des deux montants : l'indemnité de la convention Syntec ou l'indemnité légale du Code du travail.</w:t>
      </w:r>
    </w:p>
    <w:p>
      <w:r>
        <w:rPr>
          <w:b/>
        </w:rPr>
        <w:t>Exemple</w:t>
      </w:r>
      <w:r>
        <w:rPr>
          <w:b w:val="0"/>
        </w:rPr>
        <w:t xml:space="preserve"> : un cadre licencié après 6 ans d'ancienneté, avec un salaire de référence de 4 200 € par mois, perçoit au moins 6 × 1/3 × 4 200 €, soit </w:t>
      </w:r>
      <w:r>
        <w:rPr>
          <w:b/>
        </w:rPr>
        <w:t>8 400 €</w:t>
      </w:r>
      <w:r>
        <w:rPr>
          <w:b w:val="0"/>
        </w:rPr>
        <w:t>.</w:t>
      </w:r>
    </w:p>
    <w:p>
      <w:pPr>
        <w:pStyle w:val="Heading1"/>
      </w:pPr>
      <w:r>
        <w:t>2. Le départ volontaire à la retraite</w:t>
      </w:r>
    </w:p>
    <w:p>
      <w:r>
        <w:rPr>
          <w:b w:val="0"/>
        </w:rPr>
        <w:t>Le salarié qui part de lui-même à la retraite respecte un préavis :</w:t>
      </w:r>
    </w:p>
    <w:p>
      <w:pPr>
        <w:pStyle w:val="ListBullet"/>
      </w:pPr>
      <w:r>
        <w:rPr>
          <w:b/>
        </w:rPr>
        <w:t>1 mois</w:t>
      </w:r>
      <w:r>
        <w:rPr>
          <w:b w:val="0"/>
        </w:rPr>
        <w:t xml:space="preserve"> jusqu'à 2 ans d'ancienneté ;</w:t>
      </w:r>
    </w:p>
    <w:p>
      <w:pPr>
        <w:pStyle w:val="ListBullet"/>
      </w:pPr>
      <w:r>
        <w:rPr>
          <w:b/>
        </w:rPr>
        <w:t>2 mois</w:t>
      </w:r>
      <w:r>
        <w:rPr>
          <w:b w:val="0"/>
        </w:rPr>
        <w:t xml:space="preserve"> à partir de 2 ans d'ancienneté.</w:t>
      </w:r>
    </w:p>
    <w:p>
      <w:r>
        <w:rPr>
          <w:b w:val="0"/>
        </w:rPr>
        <w:t>Il perçoit une indemnité de départ à la retraite qui dépend de son ancienneté :</w:t>
      </w:r>
    </w:p>
    <w:p>
      <w:pPr>
        <w:pStyle w:val="ListBullet"/>
      </w:pPr>
      <w:r>
        <w:rPr>
          <w:b/>
        </w:rPr>
        <w:t>1 mois</w:t>
      </w:r>
      <w:r>
        <w:rPr>
          <w:b w:val="0"/>
        </w:rPr>
        <w:t xml:space="preserve"> de salaire à 5 ans d'ancienneté révolus ;</w:t>
      </w:r>
    </w:p>
    <w:p>
      <w:pPr>
        <w:pStyle w:val="ListBullet"/>
      </w:pPr>
      <w:r>
        <w:rPr>
          <w:b w:val="0"/>
        </w:rPr>
        <w:t xml:space="preserve">plus </w:t>
      </w:r>
      <w:r>
        <w:rPr>
          <w:b/>
        </w:rPr>
        <w:t>1/5 de mois</w:t>
      </w:r>
      <w:r>
        <w:rPr>
          <w:b w:val="0"/>
        </w:rPr>
        <w:t xml:space="preserve"> par année d'ancienneté supplémentaire à partir de la 6e année.</w:t>
      </w:r>
    </w:p>
    <w:p>
      <w:r>
        <w:rPr>
          <w:b w:val="0"/>
        </w:rPr>
        <w:t>Le salaire de référence se calcule comme pour l'indemnité de licenciement.</w:t>
      </w:r>
    </w:p>
    <w:p>
      <w:r>
        <w:rPr>
          <w:b/>
        </w:rPr>
        <w:t>Exemple</w:t>
      </w:r>
      <w:r>
        <w:rPr>
          <w:b w:val="0"/>
        </w:rPr>
        <w:t xml:space="preserve"> : après 15 ans d'ancienneté, l'indemnité est de 1 + 10 × 1/5 = </w:t>
      </w:r>
      <w:r>
        <w:rPr>
          <w:b/>
        </w:rPr>
        <w:t>3 mois de salaire</w:t>
      </w:r>
      <w:r>
        <w:rPr>
          <w:b w:val="0"/>
        </w:rPr>
        <w:t>.</w:t>
      </w:r>
    </w:p>
    <w:p>
      <w:pPr>
        <w:pStyle w:val="Heading1"/>
      </w:pPr>
      <w:r>
        <w:t>3. La mise à la retraite par l'employeur</w:t>
      </w:r>
    </w:p>
    <w:p>
      <w:pPr>
        <w:pStyle w:val="ListBullet"/>
      </w:pPr>
      <w:r>
        <w:rPr>
          <w:b/>
        </w:rPr>
        <w:t>Entre 65 et 69 ans</w:t>
      </w:r>
      <w:r>
        <w:rPr>
          <w:b w:val="0"/>
        </w:rPr>
        <w:t>, l'employeur peut seulement demander au salarié, par écrit et 3 mois avant l'âge du taux plein automatique, s'il souhaite partir. Le salarié répond par écrit dans le mois. En cas de refus, l'employeur ne peut pas le mettre à la retraite ; il peut reposer la question chaque année jusqu'à 69 ans.</w:t>
      </w:r>
    </w:p>
    <w:p>
      <w:pPr>
        <w:pStyle w:val="ListBullet"/>
      </w:pPr>
      <w:r>
        <w:rPr>
          <w:b/>
        </w:rPr>
        <w:t>À partir de 70 ans</w:t>
      </w:r>
      <w:r>
        <w:rPr>
          <w:b w:val="0"/>
        </w:rPr>
        <w:t xml:space="preserve">, l'employeur peut mettre le salarié à la retraite en respectant un préavis de </w:t>
      </w:r>
      <w:r>
        <w:rPr>
          <w:b/>
        </w:rPr>
        <w:t>4 mois</w:t>
      </w:r>
      <w:r>
        <w:rPr>
          <w:b w:val="0"/>
        </w:rPr>
        <w:t xml:space="preserve"> ; le contrat prend fin à la fin d'un mois civil.</w:t>
      </w:r>
    </w:p>
    <w:p>
      <w:r>
        <w:rPr>
          <w:b w:val="0"/>
        </w:rPr>
        <w:t>La mise à la retraite donne droit à une indemnité au moins égale à l'</w:t>
      </w:r>
      <w:r>
        <w:rPr>
          <w:b/>
        </w:rPr>
        <w:t>indemnité conventionnelle de licenciement</w:t>
      </w:r>
      <w:r>
        <w:rPr>
          <w:b w:val="0"/>
        </w:rPr>
        <w:t>.</w:t>
      </w:r>
    </w:p>
    <w:p>
      <w:pPr>
        <w:pStyle w:val="Heading1"/>
      </w:pPr>
      <w:r>
        <w:t>4. Retraite complémentaire</w:t>
      </w:r>
    </w:p>
    <w:p>
      <w:r>
        <w:rPr>
          <w:b w:val="0"/>
        </w:rPr>
        <w:t>Les entreprises de la branche adhèrent obligatoirement à une caisse de retraite complémentaire Agirc-Arrco, sur la totalité des rémunérations brutes.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 interne fictif (projet pédagogique Ynov). Sources : Articles 4.5 « Indemnité de licenciement », 4.6 « Départ et mise à la retraite », 4.7 « Régime de retraite » et 4.8 « Indemnité de départ et de mise à la retraite » de la convention collective Syntec (IDCC 1486) mise à jour par l'avenant n° 46 (Légifrance, consulté le 15/10/2026) ; fiches « Préavis de départ à la retraite » et « Indemnités de départ à la retraite » IDCC 1486 du Code du travail numérique.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Syntec — Indemnités de licenciement, départ et mise à la retraite</dc:title>
  <dc:subject/>
  <dc:creator>Nexalis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