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P02.01B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30 Mpa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3…6000 ot./min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-20…80°C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-30…70°C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on/off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-40...100°C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E9695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>Snímač otáček v rozsahu 3 až 6000 ot./min,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Modbus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E9695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200 kPa…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E9695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3,5 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E9695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600 kPa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E9695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>Nerezový pojistný ventil nastavitelný v rozmezí 200 kPa – 5 MPa</w:t>
      </w:r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Nm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E9695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 Nm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1445 ot./min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E9695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 1500N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E9695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 Mpa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E9695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P02.01B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r w:rsidRPr="009B1EFB">
        <w:t>Nm</w:t>
      </w:r>
      <w:r>
        <w:t xml:space="preserve"> a otáčky 1445/38 = 38</w:t>
      </w:r>
      <w:r w:rsidR="003D2F63">
        <w:t> ot./min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>. Krouticí moment 40 Nm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zdvihový pohon pro 3-cestné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Krouticí moment 10Nm, jmenovité otáčky 1445 ot./min.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P02.01A;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E9695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E9695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E9695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E9695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PS 25W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E9695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E9695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E9695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E9695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r w:rsidR="006F3991">
        <w:t>ověří</w:t>
      </w:r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>vepíše kód z</w:t>
      </w:r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r>
        <w:t xml:space="preserve">3.1  Pokud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r>
        <w:t xml:space="preserve">5.1  Pokud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r>
        <w:t xml:space="preserve">uloží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7D6886D6" w14:textId="7B46CAEB" w:rsidR="00F53C45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237888">
        <w:rPr>
          <w:b/>
          <w:bCs/>
          <w:sz w:val="32"/>
          <w:szCs w:val="32"/>
          <w:u w:val="single"/>
        </w:rPr>
        <w:t>Implementace</w:t>
      </w:r>
      <w:r>
        <w:rPr>
          <w:b/>
          <w:bCs/>
          <w:sz w:val="32"/>
          <w:szCs w:val="32"/>
          <w:u w:val="single"/>
        </w:rPr>
        <w:t xml:space="preserve"> řídicího SW</w:t>
      </w:r>
    </w:p>
    <w:p w14:paraId="65E39886" w14:textId="036BA14B" w:rsidR="00DE143F" w:rsidRDefault="00DE143F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7. Navržení HMI</w:t>
      </w:r>
    </w:p>
    <w:p w14:paraId="15389F95" w14:textId="32D87DA1" w:rsidR="00F53C45" w:rsidRPr="00F53C45" w:rsidRDefault="00DE143F" w:rsidP="005639BB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8</w:t>
      </w:r>
      <w:r w:rsidR="00F53C45" w:rsidRPr="00F53C45">
        <w:rPr>
          <w:b/>
          <w:bCs/>
          <w:sz w:val="32"/>
          <w:szCs w:val="32"/>
          <w:u w:val="single"/>
        </w:rPr>
        <w:t>. Optimalizace regulačního děje</w:t>
      </w:r>
    </w:p>
    <w:p w14:paraId="2DFCAE60" w14:textId="7159E657" w:rsidR="00A7671F" w:rsidRDefault="00A7671F" w:rsidP="005639BB">
      <w:pPr>
        <w:pStyle w:val="Odstavecseseznamem"/>
        <w:numPr>
          <w:ilvl w:val="0"/>
          <w:numId w:val="12"/>
        </w:numPr>
        <w:spacing w:after="24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Identifikace parametrů soustavy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5CF12EE" w14:textId="7CB8CAC2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r w:rsidR="00545DAE" w:rsidRPr="00545DAE">
        <w:rPr>
          <w:i/>
          <w:iCs/>
        </w:rPr>
        <w:t>f(0)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obr.8.</w:t>
      </w:r>
      <w:r w:rsidR="00545DAE">
        <w:t xml:space="preserve"> </w:t>
      </w:r>
      <w:r>
        <w:t xml:space="preserve">Dále došlo k identifikaci parametrů této soustavy. </w:t>
      </w:r>
    </w:p>
    <w:p w14:paraId="4B72C76E" w14:textId="77777777" w:rsidR="001C0351" w:rsidRDefault="001C0351" w:rsidP="001C0351">
      <w:pPr>
        <w:pStyle w:val="Odstavecseseznamem"/>
        <w:ind w:firstLine="696"/>
      </w:pPr>
    </w:p>
    <w:p w14:paraId="52DB8191" w14:textId="33DFFD3A" w:rsidR="001C0351" w:rsidRDefault="00545DAE" w:rsidP="001C0351">
      <w:pPr>
        <w:pStyle w:val="Odstavecseseznamem"/>
        <w:ind w:firstLine="696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>Systém Identification Toolbox.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obr.9</w:t>
      </w:r>
      <w:r w:rsidR="00747738">
        <w:t xml:space="preserve"> lze vidět průběh soustavy po identifikaci a v</w:t>
      </w:r>
      <w:r w:rsidR="001C0351">
        <w:t>ýsledný přenos soustavy</w:t>
      </w:r>
      <w:r w:rsidR="00747738">
        <w:t xml:space="preserve"> je:</w:t>
      </w:r>
    </w:p>
    <w:p w14:paraId="55AF8B44" w14:textId="4A7E84D2" w:rsidR="00747738" w:rsidRDefault="00747738" w:rsidP="001C0351">
      <w:pPr>
        <w:pStyle w:val="Odstavecseseznamem"/>
        <w:ind w:firstLine="696"/>
      </w:pPr>
    </w:p>
    <w:p w14:paraId="085E11CD" w14:textId="77777777" w:rsidR="00CB2928" w:rsidRPr="001C0351" w:rsidRDefault="00CB2928" w:rsidP="001C0351">
      <w:pPr>
        <w:pStyle w:val="Odstavecseseznamem"/>
        <w:ind w:firstLine="696"/>
      </w:pP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289EB92D" w:rsidR="00A7671F" w:rsidRDefault="00A7671F" w:rsidP="00A7671F">
      <w:pPr>
        <w:pStyle w:val="Odstavecseseznamem"/>
        <w:numPr>
          <w:ilvl w:val="0"/>
          <w:numId w:val="1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Návrh regulátoru:</w:t>
      </w:r>
    </w:p>
    <w:p w14:paraId="6AD49C54" w14:textId="61EDF1C1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Matlab Simulinku. Na obrázku </w:t>
      </w:r>
      <w:r w:rsidRPr="00C3021D">
        <w:rPr>
          <w:i/>
          <w:iCs/>
        </w:rPr>
        <w:t>obr. 10</w:t>
      </w:r>
      <w:r>
        <w:t xml:space="preserve"> lze vidět použitý regulační obvod. Byl navržen PID regulátor nastaveny jako </w:t>
      </w:r>
      <w:r w:rsidRPr="00C3021D">
        <w:rPr>
          <w:i/>
          <w:iCs/>
        </w:rPr>
        <w:t>ideal</w:t>
      </w:r>
      <w:r>
        <w:t xml:space="preserve"> se saturací výstupu na 0-100 s použitou metodou Anti-Windup. Následně byl použit PIDTune pro provedení návrhu regulátoru. Výsledný průběh byl nastaven jako kompromis s naš</w:t>
      </w:r>
      <w:r w:rsidR="00463A16">
        <w:t>i</w:t>
      </w:r>
      <w:r>
        <w:t xml:space="preserve">mi požadavky: robustní na poruchy a dostatečně rychlý. Dále musí splňovat kritéria jako Maximální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B55743">
        <w:rPr>
          <w:i/>
          <w:iCs/>
        </w:rPr>
        <w:t>1</w:t>
      </w:r>
      <w:r w:rsidRPr="00B55743">
        <w:rPr>
          <w:i/>
          <w:iCs/>
        </w:rPr>
        <w:t xml:space="preserve"> </w:t>
      </w:r>
      <w:r>
        <w:t>je vykreslen přenos regulátoru po nastavování. Výsledný přenos PID regulátoru je zde:</w:t>
      </w:r>
    </w:p>
    <w:p w14:paraId="402730AC" w14:textId="3A831651" w:rsidR="00CD43A6" w:rsidRDefault="00CD43A6" w:rsidP="00220F89"/>
    <w:p w14:paraId="51FC077A" w14:textId="134ECF6C" w:rsidR="00CD43A6" w:rsidRDefault="00CD43A6" w:rsidP="005639BB">
      <w:pPr>
        <w:pStyle w:val="Odstavecseseznamem"/>
        <w:numPr>
          <w:ilvl w:val="0"/>
          <w:numId w:val="12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</w:t>
      </w:r>
      <w:r>
        <w:rPr>
          <w:b/>
          <w:bCs/>
          <w:sz w:val="26"/>
          <w:szCs w:val="26"/>
          <w:u w:val="single"/>
        </w:rPr>
        <w:t>:</w:t>
      </w:r>
    </w:p>
    <w:p w14:paraId="51781F26" w14:textId="78689F1B" w:rsidR="00B55743" w:rsidRPr="00B55743" w:rsidRDefault="00B55743" w:rsidP="005639BB">
      <w:pPr>
        <w:ind w:left="720" w:firstLine="697"/>
      </w:pPr>
      <w:r>
        <w:t xml:space="preserve">TIA portál má jiný způsob zápisu přenosu regulátoru dle </w:t>
      </w:r>
      <w:r w:rsidRPr="00B55743">
        <w:rPr>
          <w:i/>
          <w:iCs/>
        </w:rPr>
        <w:t>obr. 12</w:t>
      </w:r>
      <w:r>
        <w:rPr>
          <w:i/>
          <w:iCs/>
        </w:rPr>
        <w:t xml:space="preserve">. </w:t>
      </w:r>
      <w:r>
        <w:t xml:space="preserve">Převod </w:t>
      </w:r>
      <w:r w:rsidR="00B9078E">
        <w:t xml:space="preserve">je vypočítán níže. Navržený PLC byl otestován na výsledný průběh lze vidět na </w:t>
      </w:r>
      <w:r w:rsidR="00B9078E" w:rsidRPr="00B9078E">
        <w:rPr>
          <w:i/>
          <w:iCs/>
        </w:rPr>
        <w:t>obr. 13</w:t>
      </w:r>
      <w:r w:rsidR="00B9078E">
        <w:t>.</w:t>
      </w:r>
    </w:p>
    <w:p w14:paraId="504F1305" w14:textId="04998E72" w:rsidR="00B451FB" w:rsidRDefault="00B451FB" w:rsidP="00C3021D">
      <w:pPr>
        <w:pStyle w:val="Odstavecseseznamem"/>
        <w:ind w:left="1416"/>
      </w:pPr>
    </w:p>
    <w:p w14:paraId="11FA66E9" w14:textId="4E4AB4A9" w:rsidR="00B451FB" w:rsidRDefault="00B451FB" w:rsidP="00C3021D">
      <w:pPr>
        <w:pStyle w:val="Odstavecseseznamem"/>
        <w:ind w:left="1416"/>
      </w:pPr>
    </w:p>
    <w:p w14:paraId="2301A431" w14:textId="77777777" w:rsidR="00B451FB" w:rsidRPr="00545DAE" w:rsidRDefault="00B451FB" w:rsidP="00C3021D">
      <w:pPr>
        <w:pStyle w:val="Odstavecseseznamem"/>
        <w:ind w:left="1416"/>
      </w:pPr>
    </w:p>
    <w:p w14:paraId="3EF42BA0" w14:textId="384ECE5A" w:rsidR="00F53C45" w:rsidRDefault="00F53C45" w:rsidP="00F53C45">
      <w:pPr>
        <w:rPr>
          <w:b/>
          <w:bCs/>
          <w:sz w:val="32"/>
          <w:szCs w:val="32"/>
          <w:u w:val="single"/>
        </w:rPr>
      </w:pPr>
    </w:p>
    <w:p w14:paraId="64FC3416" w14:textId="3A671898" w:rsidR="00F53C45" w:rsidRPr="00F53C45" w:rsidRDefault="00F53C45" w:rsidP="00F53C45">
      <w:pPr>
        <w:spacing w:after="0"/>
        <w:rPr>
          <w:b/>
          <w:bCs/>
          <w:sz w:val="32"/>
          <w:szCs w:val="32"/>
          <w:u w:val="single"/>
        </w:rPr>
      </w:pPr>
    </w:p>
    <w:p w14:paraId="20274893" w14:textId="77777777" w:rsidR="00F53C45" w:rsidRPr="00F53C45" w:rsidRDefault="00F53C45" w:rsidP="00F53C45">
      <w:pPr>
        <w:pStyle w:val="Odstavecseseznamem"/>
        <w:spacing w:after="0"/>
        <w:rPr>
          <w:b/>
          <w:bCs/>
          <w:sz w:val="32"/>
          <w:szCs w:val="32"/>
          <w:u w:val="single"/>
        </w:rPr>
      </w:pPr>
    </w:p>
    <w:p w14:paraId="0632E683" w14:textId="77777777" w:rsidR="00F53C45" w:rsidRPr="00F53C45" w:rsidRDefault="00F53C45" w:rsidP="00F53C45">
      <w:pPr>
        <w:pStyle w:val="Odstavecseseznamem"/>
        <w:spacing w:after="0"/>
        <w:rPr>
          <w:b/>
          <w:bCs/>
          <w:sz w:val="32"/>
          <w:szCs w:val="32"/>
          <w:u w:val="single"/>
        </w:rPr>
      </w:pPr>
    </w:p>
    <w:p w14:paraId="7C5B886E" w14:textId="77777777" w:rsidR="00F53C45" w:rsidRPr="006F3991" w:rsidRDefault="00F53C45" w:rsidP="006F3991">
      <w:pPr>
        <w:jc w:val="center"/>
      </w:pPr>
    </w:p>
    <w:sectPr w:rsidR="00F53C45" w:rsidRPr="006F3991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5831" w14:textId="77777777" w:rsidR="00E96950" w:rsidRDefault="00E96950" w:rsidP="00150F26">
      <w:pPr>
        <w:spacing w:after="0" w:line="240" w:lineRule="auto"/>
      </w:pPr>
      <w:r>
        <w:separator/>
      </w:r>
    </w:p>
  </w:endnote>
  <w:endnote w:type="continuationSeparator" w:id="0">
    <w:p w14:paraId="48E5C9AD" w14:textId="77777777" w:rsidR="00E96950" w:rsidRDefault="00E96950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5DFC" w14:textId="77777777" w:rsidR="00E96950" w:rsidRDefault="00E96950" w:rsidP="00150F26">
      <w:pPr>
        <w:spacing w:after="0" w:line="240" w:lineRule="auto"/>
      </w:pPr>
      <w:r>
        <w:separator/>
      </w:r>
    </w:p>
  </w:footnote>
  <w:footnote w:type="continuationSeparator" w:id="0">
    <w:p w14:paraId="0B2524A5" w14:textId="77777777" w:rsidR="00E96950" w:rsidRDefault="00E96950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15FB"/>
    <w:rsid w:val="001B4E1F"/>
    <w:rsid w:val="001C0351"/>
    <w:rsid w:val="001C067B"/>
    <w:rsid w:val="00215D2B"/>
    <w:rsid w:val="00220F89"/>
    <w:rsid w:val="002231DA"/>
    <w:rsid w:val="00237888"/>
    <w:rsid w:val="0027467E"/>
    <w:rsid w:val="002C476B"/>
    <w:rsid w:val="0030347C"/>
    <w:rsid w:val="00321EA8"/>
    <w:rsid w:val="00332755"/>
    <w:rsid w:val="00344AD3"/>
    <w:rsid w:val="00344F17"/>
    <w:rsid w:val="003668ED"/>
    <w:rsid w:val="003727ED"/>
    <w:rsid w:val="003D2DFD"/>
    <w:rsid w:val="003D2F63"/>
    <w:rsid w:val="003F7703"/>
    <w:rsid w:val="00463A16"/>
    <w:rsid w:val="0047241E"/>
    <w:rsid w:val="004767AD"/>
    <w:rsid w:val="0049779E"/>
    <w:rsid w:val="004F7365"/>
    <w:rsid w:val="00545DAE"/>
    <w:rsid w:val="005639BB"/>
    <w:rsid w:val="00574FF3"/>
    <w:rsid w:val="005A6C64"/>
    <w:rsid w:val="005D0EB3"/>
    <w:rsid w:val="005E4E8D"/>
    <w:rsid w:val="00606A36"/>
    <w:rsid w:val="006D03ED"/>
    <w:rsid w:val="006F2DA1"/>
    <w:rsid w:val="006F3991"/>
    <w:rsid w:val="006F6676"/>
    <w:rsid w:val="0072490E"/>
    <w:rsid w:val="00734E07"/>
    <w:rsid w:val="00744624"/>
    <w:rsid w:val="00747738"/>
    <w:rsid w:val="0076017C"/>
    <w:rsid w:val="00773A4F"/>
    <w:rsid w:val="007904F9"/>
    <w:rsid w:val="00797B51"/>
    <w:rsid w:val="007A3D5A"/>
    <w:rsid w:val="007C476E"/>
    <w:rsid w:val="007D1596"/>
    <w:rsid w:val="007D5435"/>
    <w:rsid w:val="00824858"/>
    <w:rsid w:val="008402F7"/>
    <w:rsid w:val="008522B7"/>
    <w:rsid w:val="00854042"/>
    <w:rsid w:val="00857318"/>
    <w:rsid w:val="008670F4"/>
    <w:rsid w:val="00892546"/>
    <w:rsid w:val="008A2035"/>
    <w:rsid w:val="008A661D"/>
    <w:rsid w:val="008C219D"/>
    <w:rsid w:val="009056CD"/>
    <w:rsid w:val="00952CFB"/>
    <w:rsid w:val="009578A6"/>
    <w:rsid w:val="0098363D"/>
    <w:rsid w:val="00994A42"/>
    <w:rsid w:val="009B1EFB"/>
    <w:rsid w:val="00A07257"/>
    <w:rsid w:val="00A52879"/>
    <w:rsid w:val="00A52BCB"/>
    <w:rsid w:val="00A67C7A"/>
    <w:rsid w:val="00A7671F"/>
    <w:rsid w:val="00A90D62"/>
    <w:rsid w:val="00B070A8"/>
    <w:rsid w:val="00B23A53"/>
    <w:rsid w:val="00B451FB"/>
    <w:rsid w:val="00B55743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B2928"/>
    <w:rsid w:val="00CB772E"/>
    <w:rsid w:val="00CD43A6"/>
    <w:rsid w:val="00CF43B2"/>
    <w:rsid w:val="00D041FB"/>
    <w:rsid w:val="00D16124"/>
    <w:rsid w:val="00D55929"/>
    <w:rsid w:val="00D6655F"/>
    <w:rsid w:val="00DC5F05"/>
    <w:rsid w:val="00DE143F"/>
    <w:rsid w:val="00DF751D"/>
    <w:rsid w:val="00E07DEC"/>
    <w:rsid w:val="00E27127"/>
    <w:rsid w:val="00E410BD"/>
    <w:rsid w:val="00E71AB4"/>
    <w:rsid w:val="00E918FB"/>
    <w:rsid w:val="00E96950"/>
    <w:rsid w:val="00EB1B3E"/>
    <w:rsid w:val="00F33E8E"/>
    <w:rsid w:val="00F53C45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2151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student</cp:lastModifiedBy>
  <cp:revision>15</cp:revision>
  <cp:lastPrinted>2023-11-10T17:47:00Z</cp:lastPrinted>
  <dcterms:created xsi:type="dcterms:W3CDTF">2023-11-10T17:47:00Z</dcterms:created>
  <dcterms:modified xsi:type="dcterms:W3CDTF">2023-11-29T15:12:00Z</dcterms:modified>
</cp:coreProperties>
</file>