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FD604E" w:rsidTr="009A594E">
        <w:trPr>
          <w:trHeight w:hRule="exact" w:val="851"/>
        </w:trPr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100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110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</w:t>
            </w:r>
            <w:r w:rsidR="009A594E" w:rsidRPr="00524026">
              <w:rPr>
                <w:rFonts w:ascii="Rockwell" w:hAnsi="Rockwell"/>
                <w:sz w:val="28"/>
              </w:rPr>
              <w:t>k0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11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100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110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</w:tr>
      <w:tr w:rsidR="00FD604E" w:rsidTr="009A594E">
        <w:trPr>
          <w:trHeight w:hRule="exact" w:val="851"/>
        </w:trPr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120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130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12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13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120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130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</w:tr>
      <w:tr w:rsidR="00FD604E" w:rsidTr="009A594E">
        <w:trPr>
          <w:trHeight w:hRule="exact" w:val="851"/>
        </w:trPr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150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160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5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6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15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16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150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160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</w:tr>
      <w:tr w:rsidR="00FD604E" w:rsidTr="009A594E">
        <w:trPr>
          <w:trHeight w:hRule="exact" w:val="851"/>
        </w:trPr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180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200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8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18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180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200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</w:tr>
      <w:tr w:rsidR="00FD604E" w:rsidTr="009A594E">
        <w:trPr>
          <w:trHeight w:hRule="exact" w:val="851"/>
        </w:trPr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220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240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2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4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22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24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220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240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</w:tr>
      <w:tr w:rsidR="00FD604E" w:rsidTr="009A594E">
        <w:trPr>
          <w:trHeight w:hRule="exact" w:val="851"/>
        </w:trPr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270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300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7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27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270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300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</w:tr>
      <w:tr w:rsidR="00FD604E" w:rsidTr="009A594E">
        <w:trPr>
          <w:trHeight w:hRule="exact" w:val="851"/>
        </w:trPr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330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360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3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6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33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36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330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360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</w:tr>
      <w:tr w:rsidR="00FD604E" w:rsidTr="009A594E">
        <w:trPr>
          <w:trHeight w:hRule="exact" w:val="851"/>
        </w:trPr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390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430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9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4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3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39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43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390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430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</w:tr>
      <w:tr w:rsidR="00FD604E" w:rsidTr="009A594E">
        <w:trPr>
          <w:trHeight w:hRule="exact" w:val="851"/>
        </w:trPr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470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510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4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7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5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47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51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470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510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</w:tr>
      <w:tr w:rsidR="00FD604E" w:rsidTr="009A594E">
        <w:trPr>
          <w:trHeight w:hRule="exact" w:val="851"/>
        </w:trPr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560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620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5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6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6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56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62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560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620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</w:tr>
      <w:tr w:rsidR="00FD604E" w:rsidTr="009A594E">
        <w:trPr>
          <w:trHeight w:hRule="exact" w:val="851"/>
        </w:trPr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680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750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6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8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7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5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68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75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680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750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</w:tr>
      <w:tr w:rsidR="00FD604E" w:rsidTr="009A594E">
        <w:trPr>
          <w:trHeight w:hRule="exact" w:val="851"/>
        </w:trPr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820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910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8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2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9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  <w:r w:rsidRPr="00524026">
              <w:rPr>
                <w:rFonts w:ascii="Rockwell" w:hAnsi="Rockwell"/>
                <w:sz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82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91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  <w:tc>
          <w:tcPr>
            <w:tcW w:w="2268" w:type="dxa"/>
            <w:vAlign w:val="center"/>
          </w:tcPr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820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  <w:p w:rsidR="00FD604E" w:rsidRPr="00524026" w:rsidRDefault="00FD604E" w:rsidP="009A594E">
            <w:pPr>
              <w:jc w:val="center"/>
              <w:rPr>
                <w:rFonts w:ascii="Rockwell" w:hAnsi="Rockwell"/>
                <w:sz w:val="28"/>
              </w:rPr>
            </w:pPr>
            <w:r w:rsidRPr="00524026">
              <w:rPr>
                <w:rFonts w:ascii="Rockwell" w:hAnsi="Rockwell"/>
                <w:sz w:val="28"/>
              </w:rPr>
              <w:t>910</w:t>
            </w:r>
            <w:r w:rsidR="009A594E" w:rsidRPr="00524026">
              <w:rPr>
                <w:rFonts w:ascii="Rockwell" w:hAnsi="Rockwell"/>
                <w:sz w:val="28"/>
              </w:rPr>
              <w:t>k</w:t>
            </w:r>
          </w:p>
        </w:tc>
      </w:tr>
    </w:tbl>
    <w:p w:rsidR="0060491B" w:rsidRDefault="0060491B">
      <w:bookmarkStart w:id="0" w:name="_GoBack"/>
      <w:bookmarkEnd w:id="0"/>
    </w:p>
    <w:sectPr w:rsidR="0060491B" w:rsidSect="00FD60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4E"/>
    <w:rsid w:val="00524026"/>
    <w:rsid w:val="0060491B"/>
    <w:rsid w:val="009A594E"/>
    <w:rsid w:val="00FD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F8234-33C3-4482-9360-6CC9E8D2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D6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IDEA-ENVI s.r.o.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Riedl</dc:creator>
  <cp:keywords/>
  <dc:description/>
  <cp:lastModifiedBy>Pavel Riedl</cp:lastModifiedBy>
  <cp:revision>1</cp:revision>
  <dcterms:created xsi:type="dcterms:W3CDTF">2017-04-29T18:33:00Z</dcterms:created>
  <dcterms:modified xsi:type="dcterms:W3CDTF">2017-04-29T18:56:00Z</dcterms:modified>
</cp:coreProperties>
</file>