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B2" w:rsidRDefault="00F275B2" w:rsidP="00C36414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75B2" w:rsidRPr="00E97E93" w:rsidRDefault="00225BA6" w:rsidP="00225BA6">
      <w:pPr>
        <w:tabs>
          <w:tab w:val="left" w:pos="851"/>
        </w:tabs>
        <w:spacing w:after="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E93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Цифровая экономика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— деятельность по созданию, распространению и использованию цифровых технологий и связанных с ними продуктов и услуг; </w:t>
      </w:r>
    </w:p>
    <w:p w:rsidR="00F275B2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Цифровые технологии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— технологии сбора, хранения, обработки, поиска, передачи и представления данных в электронном виде.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sz w:val="24"/>
          <w:szCs w:val="24"/>
        </w:rPr>
        <w:t>Большие данные</w:t>
      </w:r>
      <w:r w:rsidRPr="00225BA6">
        <w:rPr>
          <w:rFonts w:ascii="Times New Roman" w:hAnsi="Times New Roman" w:cs="Times New Roman"/>
          <w:sz w:val="24"/>
          <w:szCs w:val="24"/>
        </w:rPr>
        <w:tab/>
        <w:t xml:space="preserve">- это технологии сбора, обработки и </w:t>
      </w:r>
      <w:proofErr w:type="gramStart"/>
      <w:r w:rsidRPr="00225BA6">
        <w:rPr>
          <w:rFonts w:ascii="Times New Roman" w:hAnsi="Times New Roman" w:cs="Times New Roman"/>
          <w:sz w:val="24"/>
          <w:szCs w:val="24"/>
        </w:rPr>
        <w:t>хранения</w:t>
      </w:r>
      <w:proofErr w:type="gramEnd"/>
      <w:r w:rsidRPr="00225BA6">
        <w:rPr>
          <w:rFonts w:ascii="Times New Roman" w:hAnsi="Times New Roman" w:cs="Times New Roman"/>
          <w:sz w:val="24"/>
          <w:szCs w:val="24"/>
        </w:rPr>
        <w:t xml:space="preserve"> структурированных и неструктурированных массивов информации, характеризующихся значительным объемом и быстрой скоростью изменений (в том числе в режиме реального времени), что требует специальных инструментов и методов работы с ними.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 xml:space="preserve">Искусственный </w:t>
      </w:r>
      <w:proofErr w:type="spellStart"/>
      <w:r w:rsidRPr="00225BA6">
        <w:rPr>
          <w:rFonts w:ascii="Times New Roman" w:hAnsi="Times New Roman" w:cs="Times New Roman"/>
          <w:b/>
          <w:i/>
          <w:sz w:val="24"/>
          <w:szCs w:val="24"/>
        </w:rPr>
        <w:t>интеллект</w:t>
      </w:r>
      <w:r w:rsidRPr="00225BA6">
        <w:rPr>
          <w:rFonts w:ascii="Times New Roman" w:hAnsi="Times New Roman" w:cs="Times New Roman"/>
          <w:sz w:val="24"/>
          <w:szCs w:val="24"/>
        </w:rPr>
        <w:t>этосистема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программных и/или аппаратных средств, </w:t>
      </w:r>
      <w:proofErr w:type="gramStart"/>
      <w:r w:rsidRPr="00225BA6">
        <w:rPr>
          <w:rFonts w:ascii="Times New Roman" w:hAnsi="Times New Roman" w:cs="Times New Roman"/>
          <w:sz w:val="24"/>
          <w:szCs w:val="24"/>
        </w:rPr>
        <w:t>способная</w:t>
      </w:r>
      <w:proofErr w:type="gramEnd"/>
      <w:r w:rsidRPr="00225BA6">
        <w:rPr>
          <w:rFonts w:ascii="Times New Roman" w:hAnsi="Times New Roman" w:cs="Times New Roman"/>
          <w:sz w:val="24"/>
          <w:szCs w:val="24"/>
        </w:rPr>
        <w:t xml:space="preserve"> с определенной степенью автономности воспринимать информацию, обучаться и принимать решения на основе анализа больших массивов данных, в том числе имитируя человеческое поведение.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BA6">
        <w:rPr>
          <w:rFonts w:ascii="Times New Roman" w:hAnsi="Times New Roman" w:cs="Times New Roman"/>
          <w:b/>
          <w:i/>
          <w:sz w:val="24"/>
          <w:szCs w:val="24"/>
        </w:rPr>
        <w:t>Нейротехнологии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― 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киберфизические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системы, частично или полностью замещающие/дополняющие функционирование нервной системы биологического объекта, в том числе на основе искусственного интеллекта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Технологии распределенного реестра (</w:t>
      </w:r>
      <w:proofErr w:type="spellStart"/>
      <w:r w:rsidRPr="00225BA6">
        <w:rPr>
          <w:rFonts w:ascii="Times New Roman" w:hAnsi="Times New Roman" w:cs="Times New Roman"/>
          <w:b/>
          <w:i/>
          <w:sz w:val="24"/>
          <w:szCs w:val="24"/>
        </w:rPr>
        <w:t>блокчейн</w:t>
      </w:r>
      <w:proofErr w:type="spellEnd"/>
      <w:r w:rsidRPr="00225BA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225B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225BA6">
        <w:rPr>
          <w:rFonts w:ascii="Times New Roman" w:hAnsi="Times New Roman" w:cs="Times New Roman"/>
          <w:sz w:val="24"/>
          <w:szCs w:val="24"/>
        </w:rPr>
        <w:t xml:space="preserve"> алгоритмы и протоколы децентрализованного хранения и обработки трансакций, структурированных в виде последовательности связанных блоков без возможности их последующего изменения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Квантовые технологии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25BA6">
        <w:rPr>
          <w:rFonts w:ascii="Times New Roman" w:hAnsi="Times New Roman" w:cs="Times New Roman"/>
          <w:sz w:val="24"/>
          <w:szCs w:val="24"/>
        </w:rPr>
        <w:t xml:space="preserve"> технологии создания вычислительных систем, основанные на новых принципах (квантовых эффектах), позволяющие радикально изменить способы передачи и обработки больших массивов данных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Новые производственные технологии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25BA6">
        <w:rPr>
          <w:rFonts w:ascii="Times New Roman" w:hAnsi="Times New Roman" w:cs="Times New Roman"/>
          <w:sz w:val="24"/>
          <w:szCs w:val="24"/>
        </w:rPr>
        <w:t xml:space="preserve"> технологии 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цифровизац</w:t>
      </w:r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производственных процессов, </w:t>
      </w:r>
      <w:r w:rsidRPr="00225BA6">
        <w:rPr>
          <w:rFonts w:ascii="Times New Roman" w:hAnsi="Times New Roman" w:cs="Times New Roman"/>
          <w:sz w:val="24"/>
          <w:szCs w:val="24"/>
        </w:rPr>
        <w:t>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Аддитивные технологии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― </w:t>
      </w:r>
      <w:proofErr w:type="gramStart"/>
      <w:r w:rsidRPr="00225BA6">
        <w:rPr>
          <w:rFonts w:ascii="Times New Roman" w:hAnsi="Times New Roman" w:cs="Times New Roman"/>
          <w:sz w:val="24"/>
          <w:szCs w:val="24"/>
        </w:rPr>
        <w:t>технологии</w:t>
      </w:r>
      <w:proofErr w:type="gramEnd"/>
      <w:r w:rsidRPr="00225BA6">
        <w:rPr>
          <w:rFonts w:ascii="Times New Roman" w:hAnsi="Times New Roman" w:cs="Times New Roman"/>
          <w:sz w:val="24"/>
          <w:szCs w:val="24"/>
        </w:rPr>
        <w:t xml:space="preserve"> послойного создания трехмерных объектов на основе их цифровых моделей («двойников»), позволяющие изготавливать изделия сложных геометрических форм и профилей.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Суперкомпьютерные технологии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― </w:t>
      </w:r>
      <w:proofErr w:type="gramStart"/>
      <w:r w:rsidRPr="00225BA6">
        <w:rPr>
          <w:rFonts w:ascii="Times New Roman" w:hAnsi="Times New Roman" w:cs="Times New Roman"/>
          <w:sz w:val="24"/>
          <w:szCs w:val="24"/>
        </w:rPr>
        <w:t>технологии</w:t>
      </w:r>
      <w:proofErr w:type="gramEnd"/>
      <w:r w:rsidRPr="00225BA6">
        <w:rPr>
          <w:rFonts w:ascii="Times New Roman" w:hAnsi="Times New Roman" w:cs="Times New Roman"/>
          <w:sz w:val="24"/>
          <w:szCs w:val="24"/>
        </w:rPr>
        <w:t>, обеспечивающие высокопроизводительные вычисления за счет использования принципов параллельной и распределенной (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>) обработки данных и высокой пропускной способности.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Компьютерный инжиниринг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― технологии цифрового моделирования и проектирования объектов и производственных процессов на всем протяжении жизненного цикла.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Промышленный Интернет</w:t>
      </w:r>
      <w:r w:rsidRPr="00225BA6">
        <w:rPr>
          <w:rFonts w:ascii="Times New Roman" w:hAnsi="Times New Roman" w:cs="Times New Roman"/>
          <w:b/>
          <w:i/>
          <w:sz w:val="24"/>
          <w:szCs w:val="24"/>
        </w:rPr>
        <w:tab/>
        <w:t>сети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передачи данных, объединяющие устройства в производственном секторе, оборудованные датчиками и способные взаимодействовать между собой и/или внешней средой без вмешательства человека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Компоненты робототехники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(промышленные роботы)</w:t>
      </w:r>
      <w:r w:rsidRPr="00225B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225BA6">
        <w:rPr>
          <w:rFonts w:ascii="Times New Roman" w:hAnsi="Times New Roman" w:cs="Times New Roman"/>
          <w:sz w:val="24"/>
          <w:szCs w:val="24"/>
        </w:rPr>
        <w:t xml:space="preserve"> производственные системы, обладающие тремя или более степенями подвижности (свободы), построенные на основе сенсоров и искусственного интеллекта, способные воспринимать окружающую среду, контролировать свои действия и адаптироваться к ее изменениям.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BA6">
        <w:rPr>
          <w:rFonts w:ascii="Times New Roman" w:hAnsi="Times New Roman" w:cs="Times New Roman"/>
          <w:b/>
          <w:i/>
          <w:sz w:val="24"/>
          <w:szCs w:val="24"/>
        </w:rPr>
        <w:lastRenderedPageBreak/>
        <w:t>Сенсорика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― технологии создания устройств, собирающих и передающих информацию о состоянии окружающей среды посредством сетей передачи данных.</w:t>
      </w:r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BA6">
        <w:rPr>
          <w:rFonts w:ascii="Times New Roman" w:hAnsi="Times New Roman" w:cs="Times New Roman"/>
          <w:b/>
          <w:i/>
          <w:sz w:val="24"/>
          <w:szCs w:val="24"/>
        </w:rPr>
        <w:t>Технологии беспроводной связи</w:t>
      </w:r>
      <w:r w:rsidRPr="00225B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225BA6">
        <w:rPr>
          <w:rFonts w:ascii="Times New Roman" w:hAnsi="Times New Roman" w:cs="Times New Roman"/>
          <w:sz w:val="24"/>
          <w:szCs w:val="24"/>
        </w:rPr>
        <w:t xml:space="preserve"> технологии передачи данных посредством стандартизированного 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радиоинтерфейса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без использования проводного подключения к сети. 5G ― технологии беспроводной связи пятого поколения, для которых характерны высокие пропускная способность (не менее 10 Гбит/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>), надежность и безопасность сети, низкий уровень задержки передачи данных (не более одной миллисекунды), в результате чего становится возможным эффективно использовать большие данные.</w:t>
      </w:r>
      <w:proofErr w:type="gramEnd"/>
    </w:p>
    <w:p w:rsidR="00225BA6" w:rsidRPr="00225BA6" w:rsidRDefault="00225BA6" w:rsidP="00225BA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Технологии виртуальной реальности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25BA6">
        <w:rPr>
          <w:rFonts w:ascii="Times New Roman" w:hAnsi="Times New Roman" w:cs="Times New Roman"/>
          <w:sz w:val="24"/>
          <w:szCs w:val="24"/>
        </w:rPr>
        <w:tab/>
        <w:t>технологии компьютерного моделирования трехмерного изображения или пространства, посредством которых человек взаимодействует с синтетической («виртуальной») средой с последующей сенсорной обратной связью.</w:t>
      </w:r>
    </w:p>
    <w:p w:rsidR="00373780" w:rsidRDefault="00225BA6" w:rsidP="00373780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BA6">
        <w:rPr>
          <w:rFonts w:ascii="Times New Roman" w:hAnsi="Times New Roman" w:cs="Times New Roman"/>
          <w:b/>
          <w:i/>
          <w:sz w:val="24"/>
          <w:szCs w:val="24"/>
        </w:rPr>
        <w:t>Технологии дополненной реальности</w:t>
      </w:r>
      <w:r w:rsidRPr="00225BA6">
        <w:rPr>
          <w:rFonts w:ascii="Times New Roman" w:hAnsi="Times New Roman" w:cs="Times New Roman"/>
          <w:sz w:val="24"/>
          <w:szCs w:val="24"/>
        </w:rPr>
        <w:t xml:space="preserve"> ― технологии визуализации, основанные на добавлении информации или визуальных эффектов в физический мир посредством наложения графического и/или звукового </w:t>
      </w:r>
      <w:proofErr w:type="spellStart"/>
      <w:r w:rsidRPr="00225BA6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225BA6">
        <w:rPr>
          <w:rFonts w:ascii="Times New Roman" w:hAnsi="Times New Roman" w:cs="Times New Roman"/>
          <w:sz w:val="24"/>
          <w:szCs w:val="24"/>
        </w:rPr>
        <w:t xml:space="preserve"> для улучшения пользовательского опыта и интерактивных возможностей.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sz w:val="24"/>
          <w:szCs w:val="24"/>
        </w:rPr>
        <w:t>Экономическая система</w:t>
      </w:r>
      <w:r w:rsidRPr="00373780">
        <w:rPr>
          <w:sz w:val="24"/>
          <w:szCs w:val="24"/>
        </w:rPr>
        <w:sym w:font="Symbol" w:char="F02D"/>
      </w:r>
      <w:r w:rsidRPr="00373780">
        <w:rPr>
          <w:rFonts w:ascii="Times New Roman" w:hAnsi="Times New Roman" w:cs="Times New Roman"/>
          <w:sz w:val="24"/>
          <w:szCs w:val="24"/>
        </w:rPr>
        <w:t xml:space="preserve"> условно выделенный фрагмент экономических отношений между людьми, в котором реализуется процесс производства и потребления благ.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sz w:val="24"/>
          <w:szCs w:val="24"/>
        </w:rPr>
        <w:t>Экономика</w:t>
      </w:r>
      <w:r w:rsidRPr="00373780">
        <w:rPr>
          <w:sz w:val="24"/>
          <w:szCs w:val="24"/>
        </w:rPr>
        <w:sym w:font="Symbol" w:char="F02D"/>
      </w:r>
      <w:r w:rsidRPr="00373780">
        <w:rPr>
          <w:rFonts w:ascii="Times New Roman" w:hAnsi="Times New Roman" w:cs="Times New Roman"/>
          <w:sz w:val="24"/>
          <w:szCs w:val="24"/>
        </w:rPr>
        <w:t xml:space="preserve"> система наук и практическая деятельность людей, которую называют «экономической».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sz w:val="24"/>
          <w:szCs w:val="24"/>
        </w:rPr>
        <w:t xml:space="preserve">Экономические отношения </w:t>
      </w:r>
      <w:r w:rsidRPr="00373780">
        <w:rPr>
          <w:sz w:val="24"/>
          <w:szCs w:val="24"/>
        </w:rPr>
        <w:sym w:font="Symbol" w:char="F02D"/>
      </w:r>
      <w:r w:rsidRPr="00373780">
        <w:rPr>
          <w:rFonts w:ascii="Times New Roman" w:hAnsi="Times New Roman" w:cs="Times New Roman"/>
          <w:sz w:val="24"/>
          <w:szCs w:val="24"/>
        </w:rPr>
        <w:t xml:space="preserve"> система естественных отношений между людьми по поводу производства и потребления благ, реализующихся в процессе </w:t>
      </w:r>
      <w:proofErr w:type="spellStart"/>
      <w:r w:rsidRPr="00373780">
        <w:rPr>
          <w:rFonts w:ascii="Times New Roman" w:hAnsi="Times New Roman" w:cs="Times New Roman"/>
          <w:sz w:val="24"/>
          <w:szCs w:val="24"/>
        </w:rPr>
        <w:t>коэволюционного</w:t>
      </w:r>
      <w:proofErr w:type="spellEnd"/>
      <w:r w:rsidRPr="00373780">
        <w:rPr>
          <w:rFonts w:ascii="Times New Roman" w:hAnsi="Times New Roman" w:cs="Times New Roman"/>
          <w:sz w:val="24"/>
          <w:szCs w:val="24"/>
        </w:rPr>
        <w:t xml:space="preserve"> развития планетарной системы.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sz w:val="24"/>
          <w:szCs w:val="24"/>
        </w:rPr>
        <w:t>Юридическое лицо</w:t>
      </w:r>
      <w:r w:rsidRPr="003737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3780">
        <w:rPr>
          <w:rFonts w:ascii="Times New Roman" w:hAnsi="Times New Roman" w:cs="Times New Roman"/>
          <w:sz w:val="24"/>
          <w:szCs w:val="24"/>
        </w:rPr>
        <w:t>–о</w:t>
      </w:r>
      <w:proofErr w:type="gramEnd"/>
      <w:r w:rsidRPr="00373780">
        <w:rPr>
          <w:rFonts w:ascii="Times New Roman" w:hAnsi="Times New Roman" w:cs="Times New Roman"/>
          <w:sz w:val="24"/>
          <w:szCs w:val="24"/>
        </w:rPr>
        <w:t xml:space="preserve">рганизация, которая имеет в  собственности, хозяйственном ведении или оперативном управлении обособленное  имущество и отвечает по своим обязательства этим имуществом, может от своего лица приобретать и осуществлять имущественные и личные неимущественные права,  нести обязанности, быть истцом и ответчиком в суде».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Акционерное общество</w:t>
      </w:r>
      <w:r w:rsidRPr="00373780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373780">
        <w:rPr>
          <w:rFonts w:ascii="Times New Roman" w:hAnsi="Times New Roman" w:cs="Times New Roman"/>
          <w:sz w:val="24"/>
          <w:szCs w:val="24"/>
        </w:rPr>
        <w:t>эт</w:t>
      </w:r>
      <w:proofErr w:type="gramEnd"/>
      <w:r w:rsidRPr="00373780">
        <w:rPr>
          <w:rFonts w:ascii="Times New Roman" w:hAnsi="Times New Roman" w:cs="Times New Roman"/>
          <w:sz w:val="24"/>
          <w:szCs w:val="24"/>
        </w:rPr>
        <w:t xml:space="preserve">о «коммерческая организация, уставный капитал которой разделен на определенное число акций, удостоверяющих права участников общества (акционеров) по отношению к обществу».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Обществом с ограниченной ответственностью</w:t>
      </w:r>
      <w:r w:rsidRPr="00373780">
        <w:rPr>
          <w:rFonts w:ascii="Times New Roman" w:hAnsi="Times New Roman" w:cs="Times New Roman"/>
          <w:sz w:val="24"/>
          <w:szCs w:val="24"/>
        </w:rPr>
        <w:t xml:space="preserve"> признается организация, учрежденная одним или несколькими лицами, уставный капитал которой разделен на доли определенных учредительными документами размеров.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Полное товарищество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это товарищество, участники (полные товарищи) которого в соответствии с заключенными договорами занимаются совместной предпринимательской деятельностью от имени товарищества.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proofErr w:type="gramStart"/>
      <w:r w:rsidRPr="00373780">
        <w:rPr>
          <w:rFonts w:ascii="Times New Roman" w:hAnsi="Times New Roman" w:cs="Times New Roman"/>
          <w:b/>
          <w:i/>
          <w:sz w:val="24"/>
          <w:szCs w:val="24"/>
        </w:rPr>
        <w:t>Товарищество на вере</w:t>
      </w:r>
      <w:r w:rsidRPr="00373780">
        <w:rPr>
          <w:rFonts w:ascii="Times New Roman" w:hAnsi="Times New Roman" w:cs="Times New Roman"/>
          <w:sz w:val="24"/>
          <w:szCs w:val="24"/>
        </w:rPr>
        <w:t xml:space="preserve"> (коммандитное товарищество) – это товарищество, в котором наряду с полными товарищами, осуществляющими от его имени предпринимательскую деятельность и отвечающими по его обязательствам своим имуществом, имеется один или несколько участников – вкладчиков (коммандитистов), которые несут риск убытков, связанных с деятельностью товарищества, в пределах сумм внесенных ими вкладов и не принимают участия в осуществлении товариществом предпринимательской деятельности. </w:t>
      </w:r>
      <w:proofErr w:type="gramEnd"/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Производственный кооператив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это добровольное объединение граждан на основе членства для совместной производственной или иной хозяйственной деятельности, основанной на их личном трудовом или ином участии и объединении его членами имущественных паевых взносов.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Государственные и муниципальные унитарные предприятия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это организации, создаваемые государственными (местными) органами власти.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sz w:val="24"/>
          <w:szCs w:val="24"/>
        </w:rPr>
      </w:pPr>
      <w:proofErr w:type="spellStart"/>
      <w:r w:rsidRPr="00373780">
        <w:rPr>
          <w:rFonts w:ascii="Times New Roman" w:hAnsi="Times New Roman" w:cs="Times New Roman"/>
          <w:b/>
          <w:i/>
          <w:sz w:val="24"/>
          <w:szCs w:val="24"/>
        </w:rPr>
        <w:t>Самозанятость</w:t>
      </w:r>
      <w:proofErr w:type="spellEnd"/>
      <w:r w:rsidRPr="003737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373780">
        <w:rPr>
          <w:rFonts w:ascii="Times New Roman" w:hAnsi="Times New Roman" w:cs="Times New Roman"/>
          <w:b/>
          <w:i/>
          <w:sz w:val="24"/>
          <w:szCs w:val="24"/>
        </w:rPr>
        <w:t>Фриланс</w:t>
      </w:r>
      <w:proofErr w:type="spellEnd"/>
      <w:r w:rsidRPr="00373780">
        <w:rPr>
          <w:rFonts w:ascii="Times New Roman" w:hAnsi="Times New Roman" w:cs="Times New Roman"/>
          <w:i/>
          <w:sz w:val="24"/>
          <w:szCs w:val="24"/>
        </w:rPr>
        <w:t>)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— форма получения необходимого для жизни вознаграждения за свой труд непосредственно от заказчиков, в отличие от наёмной работы. 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Внешняя среда предприятия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совокупность активных субъектов и сил, действующих за пределами предприятия и влияющих на разработку производственной программы и реализацию управленческих решений.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Микросреда предприятия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факторы, имеющие непосредственное отношение к предприятию и определяющие его возможность по удовлетворению заказов клиентуры.</w:t>
      </w:r>
    </w:p>
    <w:p w:rsid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Макросреда предприятия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факторы социального характера (демографические, экономические, технологические, политические и </w:t>
      </w:r>
      <w:proofErr w:type="spellStart"/>
      <w:r w:rsidRPr="00373780">
        <w:rPr>
          <w:rFonts w:ascii="Times New Roman" w:hAnsi="Times New Roman" w:cs="Times New Roman"/>
          <w:sz w:val="24"/>
          <w:szCs w:val="24"/>
        </w:rPr>
        <w:t>социокультурные</w:t>
      </w:r>
      <w:proofErr w:type="spellEnd"/>
      <w:r w:rsidRPr="00373780">
        <w:rPr>
          <w:rFonts w:ascii="Times New Roman" w:hAnsi="Times New Roman" w:cs="Times New Roman"/>
          <w:sz w:val="24"/>
          <w:szCs w:val="24"/>
        </w:rPr>
        <w:t>, законодательные), оказывающие влияние на микросреду предприятия и влияющие на упра</w:t>
      </w:r>
      <w:r>
        <w:rPr>
          <w:rFonts w:ascii="Times New Roman" w:hAnsi="Times New Roman" w:cs="Times New Roman"/>
          <w:sz w:val="24"/>
          <w:szCs w:val="24"/>
        </w:rPr>
        <w:t>вленческие решения предприятия.</w:t>
      </w:r>
    </w:p>
    <w:p w:rsid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Клиенты (заказчики)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покупатели (потребители) продукции и услуг предприятия. </w:t>
      </w:r>
    </w:p>
    <w:p w:rsid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Потребительский рынок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отдельные лица и домохозяйства,  приобретающие товары и услуги для личного потребления b2c рынок.</w:t>
      </w:r>
    </w:p>
    <w:p w:rsid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Рынок производителей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предприятия и фирмы, приобретающие товары и услуги для использования их в процессе производства b2b рынок.</w:t>
      </w:r>
    </w:p>
    <w:p w:rsid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Рынок государственных учреждений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государственные организации, приобретающие товары и услуги для последующего их использования в сфере коммунальных услуг, либо для передачи этих товаров или услуг тем, кто в них нуждается b2g рынок.</w:t>
      </w:r>
    </w:p>
    <w:p w:rsidR="00373780" w:rsidRPr="00373780" w:rsidRDefault="00373780" w:rsidP="00373780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Международный рынок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покупатели за рубежами страны, включая  зарубежных потребителей, производителей, промежуточных продавцов и  государственные учреждения.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Поставщики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предприятия, фирмы и отдельные лица,  обеспечивающие предприятие и его конкурентов различными видами  ресурсов, необходимых для производства конкретных товаров и услуг.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Посредники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это фирмы, помогающие предприятию в продвижении, сбыте и распространении ее товаров и услуг среди клиентуры.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Торговые посредники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это деловые фирмы, помогающие предприятию подыскивать клиентов и (или) непосредственно продавать им товары.</w:t>
      </w:r>
    </w:p>
    <w:p w:rsidR="00373780" w:rsidRPr="00373780" w:rsidRDefault="00373780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Кредитно-финансовые учреждения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банки, кредитные компании, страховые компании и прочие организации, помогающие предприятию финансировать сделки и (или) страховать себя от предпринимательских рисков.</w:t>
      </w:r>
    </w:p>
    <w:p w:rsidR="00373780" w:rsidRDefault="00373780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80">
        <w:rPr>
          <w:rFonts w:ascii="Times New Roman" w:hAnsi="Times New Roman" w:cs="Times New Roman"/>
          <w:b/>
          <w:i/>
          <w:sz w:val="24"/>
          <w:szCs w:val="24"/>
        </w:rPr>
        <w:t>Контактная аудитория</w:t>
      </w:r>
      <w:r w:rsidRPr="00373780">
        <w:rPr>
          <w:rFonts w:ascii="Times New Roman" w:hAnsi="Times New Roman" w:cs="Times New Roman"/>
          <w:sz w:val="24"/>
          <w:szCs w:val="24"/>
        </w:rPr>
        <w:t xml:space="preserve"> – любая структура (коммерческая, общественная, государственная), которая проявляет реальный или потенциальный интерес к предприятию или оказывает влияние на его способность достигать поставленных целей.</w:t>
      </w: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706F" w:rsidRDefault="0087706F" w:rsidP="00373780">
      <w:pPr>
        <w:tabs>
          <w:tab w:val="left" w:pos="851"/>
        </w:tabs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7706F" w:rsidSect="00AD028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b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Times New Roman"/>
        <w:b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Times New Roman"/>
        <w:b/>
      </w:rPr>
    </w:lvl>
  </w:abstractNum>
  <w:abstractNum w:abstractNumId="4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3"/>
    <w:multiLevelType w:val="singleLevel"/>
    <w:tmpl w:val="00000013"/>
    <w:name w:val="WW8Num19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6">
    <w:nsid w:val="017524EC"/>
    <w:multiLevelType w:val="hybridMultilevel"/>
    <w:tmpl w:val="56463CC8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3C251A0"/>
    <w:multiLevelType w:val="hybridMultilevel"/>
    <w:tmpl w:val="5D448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9379EB"/>
    <w:multiLevelType w:val="hybridMultilevel"/>
    <w:tmpl w:val="442CC01C"/>
    <w:lvl w:ilvl="0" w:tplc="FFA606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059F5D33"/>
    <w:multiLevelType w:val="hybridMultilevel"/>
    <w:tmpl w:val="7FC67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B325A5"/>
    <w:multiLevelType w:val="hybridMultilevel"/>
    <w:tmpl w:val="A278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629A9"/>
    <w:multiLevelType w:val="hybridMultilevel"/>
    <w:tmpl w:val="ACBEA96E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5A30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6F90E4C"/>
    <w:multiLevelType w:val="hybridMultilevel"/>
    <w:tmpl w:val="0DC6EBA2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35134D"/>
    <w:multiLevelType w:val="hybridMultilevel"/>
    <w:tmpl w:val="4FEA27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178912BF"/>
    <w:multiLevelType w:val="hybridMultilevel"/>
    <w:tmpl w:val="DDCA1E4C"/>
    <w:lvl w:ilvl="0" w:tplc="4A842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A8422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60192F"/>
    <w:multiLevelType w:val="hybridMultilevel"/>
    <w:tmpl w:val="ACBADCD6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64F0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0449D6"/>
    <w:multiLevelType w:val="hybridMultilevel"/>
    <w:tmpl w:val="AEDCB35C"/>
    <w:lvl w:ilvl="0" w:tplc="0419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8">
    <w:nsid w:val="1EF567A1"/>
    <w:multiLevelType w:val="hybridMultilevel"/>
    <w:tmpl w:val="B9E04A9A"/>
    <w:lvl w:ilvl="0" w:tplc="4A84220C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1EFE2DCA"/>
    <w:multiLevelType w:val="hybridMultilevel"/>
    <w:tmpl w:val="A4BC69E0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5B552F9"/>
    <w:multiLevelType w:val="hybridMultilevel"/>
    <w:tmpl w:val="CE041ED2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7645B4E"/>
    <w:multiLevelType w:val="hybridMultilevel"/>
    <w:tmpl w:val="2F90F278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A92622"/>
    <w:multiLevelType w:val="hybridMultilevel"/>
    <w:tmpl w:val="2AE04D6A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863C84"/>
    <w:multiLevelType w:val="hybridMultilevel"/>
    <w:tmpl w:val="BF46850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332253BA"/>
    <w:multiLevelType w:val="hybridMultilevel"/>
    <w:tmpl w:val="8550F72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3D6D2E22"/>
    <w:multiLevelType w:val="hybridMultilevel"/>
    <w:tmpl w:val="2984FCA4"/>
    <w:lvl w:ilvl="0" w:tplc="4A8422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3EE04A25"/>
    <w:multiLevelType w:val="hybridMultilevel"/>
    <w:tmpl w:val="7352B2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3FA60487"/>
    <w:multiLevelType w:val="hybridMultilevel"/>
    <w:tmpl w:val="0666CECC"/>
    <w:lvl w:ilvl="0" w:tplc="18666B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1E53122"/>
    <w:multiLevelType w:val="hybridMultilevel"/>
    <w:tmpl w:val="A15CCF2A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6E90FBF"/>
    <w:multiLevelType w:val="hybridMultilevel"/>
    <w:tmpl w:val="C26C2804"/>
    <w:lvl w:ilvl="0" w:tplc="9E107C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9C26AF0"/>
    <w:multiLevelType w:val="hybridMultilevel"/>
    <w:tmpl w:val="60CCE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8A4A1B"/>
    <w:multiLevelType w:val="hybridMultilevel"/>
    <w:tmpl w:val="59100F52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842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6B79FA"/>
    <w:multiLevelType w:val="multilevel"/>
    <w:tmpl w:val="C9C4D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52CA58C4"/>
    <w:multiLevelType w:val="hybridMultilevel"/>
    <w:tmpl w:val="5484C066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12AC7"/>
    <w:multiLevelType w:val="hybridMultilevel"/>
    <w:tmpl w:val="A01A7F3E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C67AB9"/>
    <w:multiLevelType w:val="multilevel"/>
    <w:tmpl w:val="C4D6B74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6">
    <w:nsid w:val="62E83A1C"/>
    <w:multiLevelType w:val="hybridMultilevel"/>
    <w:tmpl w:val="C8B0BCC4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F93E7D"/>
    <w:multiLevelType w:val="hybridMultilevel"/>
    <w:tmpl w:val="E61A266C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0801E5"/>
    <w:multiLevelType w:val="multilevel"/>
    <w:tmpl w:val="1F08B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8DA3803"/>
    <w:multiLevelType w:val="hybridMultilevel"/>
    <w:tmpl w:val="F4B67F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6C264695"/>
    <w:multiLevelType w:val="hybridMultilevel"/>
    <w:tmpl w:val="ED08F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7C36DE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317610"/>
    <w:multiLevelType w:val="hybridMultilevel"/>
    <w:tmpl w:val="228EE4DA"/>
    <w:lvl w:ilvl="0" w:tplc="0840E1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5D50D6"/>
    <w:multiLevelType w:val="multilevel"/>
    <w:tmpl w:val="A6327DD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9"/>
        </w:tabs>
        <w:ind w:left="2509" w:hanging="1800"/>
      </w:pPr>
      <w:rPr>
        <w:rFonts w:hint="default"/>
      </w:rPr>
    </w:lvl>
  </w:abstractNum>
  <w:abstractNum w:abstractNumId="43">
    <w:nsid w:val="719B1033"/>
    <w:multiLevelType w:val="hybridMultilevel"/>
    <w:tmpl w:val="5E5C4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B74886"/>
    <w:multiLevelType w:val="hybridMultilevel"/>
    <w:tmpl w:val="EC949236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5FA43A5"/>
    <w:multiLevelType w:val="hybridMultilevel"/>
    <w:tmpl w:val="C77EAB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>
    <w:nsid w:val="7AAC666C"/>
    <w:multiLevelType w:val="hybridMultilevel"/>
    <w:tmpl w:val="F1F4BB66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B31680D"/>
    <w:multiLevelType w:val="hybridMultilevel"/>
    <w:tmpl w:val="FDEE1812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16"/>
  </w:num>
  <w:num w:numId="4">
    <w:abstractNumId w:val="22"/>
  </w:num>
  <w:num w:numId="5">
    <w:abstractNumId w:val="15"/>
  </w:num>
  <w:num w:numId="6">
    <w:abstractNumId w:val="35"/>
  </w:num>
  <w:num w:numId="7">
    <w:abstractNumId w:val="46"/>
  </w:num>
  <w:num w:numId="8">
    <w:abstractNumId w:val="44"/>
  </w:num>
  <w:num w:numId="9">
    <w:abstractNumId w:val="21"/>
  </w:num>
  <w:num w:numId="10">
    <w:abstractNumId w:val="11"/>
  </w:num>
  <w:num w:numId="11">
    <w:abstractNumId w:val="40"/>
  </w:num>
  <w:num w:numId="12">
    <w:abstractNumId w:val="19"/>
  </w:num>
  <w:num w:numId="13">
    <w:abstractNumId w:val="28"/>
  </w:num>
  <w:num w:numId="14">
    <w:abstractNumId w:val="32"/>
  </w:num>
  <w:num w:numId="15">
    <w:abstractNumId w:val="20"/>
  </w:num>
  <w:num w:numId="16">
    <w:abstractNumId w:val="36"/>
  </w:num>
  <w:num w:numId="17">
    <w:abstractNumId w:val="10"/>
  </w:num>
  <w:num w:numId="18">
    <w:abstractNumId w:val="9"/>
  </w:num>
  <w:num w:numId="19">
    <w:abstractNumId w:val="31"/>
  </w:num>
  <w:num w:numId="20">
    <w:abstractNumId w:val="37"/>
  </w:num>
  <w:num w:numId="21">
    <w:abstractNumId w:val="13"/>
  </w:num>
  <w:num w:numId="22">
    <w:abstractNumId w:val="0"/>
  </w:num>
  <w:num w:numId="23">
    <w:abstractNumId w:val="1"/>
  </w:num>
  <w:num w:numId="24">
    <w:abstractNumId w:val="27"/>
  </w:num>
  <w:num w:numId="25">
    <w:abstractNumId w:val="43"/>
  </w:num>
  <w:num w:numId="26">
    <w:abstractNumId w:val="26"/>
  </w:num>
  <w:num w:numId="27">
    <w:abstractNumId w:val="17"/>
  </w:num>
  <w:num w:numId="28">
    <w:abstractNumId w:val="39"/>
  </w:num>
  <w:num w:numId="29">
    <w:abstractNumId w:val="14"/>
  </w:num>
  <w:num w:numId="30">
    <w:abstractNumId w:val="45"/>
  </w:num>
  <w:num w:numId="31">
    <w:abstractNumId w:val="23"/>
  </w:num>
  <w:num w:numId="32">
    <w:abstractNumId w:val="24"/>
  </w:num>
  <w:num w:numId="33">
    <w:abstractNumId w:val="30"/>
  </w:num>
  <w:num w:numId="34">
    <w:abstractNumId w:val="7"/>
  </w:num>
  <w:num w:numId="35">
    <w:abstractNumId w:val="12"/>
  </w:num>
  <w:num w:numId="36">
    <w:abstractNumId w:val="25"/>
  </w:num>
  <w:num w:numId="37">
    <w:abstractNumId w:val="8"/>
  </w:num>
  <w:num w:numId="38">
    <w:abstractNumId w:val="41"/>
  </w:num>
  <w:num w:numId="39">
    <w:abstractNumId w:val="29"/>
  </w:num>
  <w:num w:numId="40">
    <w:abstractNumId w:val="42"/>
  </w:num>
  <w:num w:numId="41">
    <w:abstractNumId w:val="6"/>
  </w:num>
  <w:num w:numId="42">
    <w:abstractNumId w:val="47"/>
  </w:num>
  <w:num w:numId="43">
    <w:abstractNumId w:val="33"/>
  </w:num>
  <w:num w:numId="44">
    <w:abstractNumId w:val="18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692B"/>
    <w:rsid w:val="0003692B"/>
    <w:rsid w:val="000D0003"/>
    <w:rsid w:val="00156A20"/>
    <w:rsid w:val="00225BA6"/>
    <w:rsid w:val="00252471"/>
    <w:rsid w:val="00273407"/>
    <w:rsid w:val="00342C42"/>
    <w:rsid w:val="00373780"/>
    <w:rsid w:val="00405AA8"/>
    <w:rsid w:val="004065D3"/>
    <w:rsid w:val="00435381"/>
    <w:rsid w:val="00491278"/>
    <w:rsid w:val="004C0F45"/>
    <w:rsid w:val="004C6F23"/>
    <w:rsid w:val="004F081A"/>
    <w:rsid w:val="00524ED0"/>
    <w:rsid w:val="00557934"/>
    <w:rsid w:val="00566D32"/>
    <w:rsid w:val="005A5B6C"/>
    <w:rsid w:val="005A7658"/>
    <w:rsid w:val="005E2891"/>
    <w:rsid w:val="0063551A"/>
    <w:rsid w:val="0068255E"/>
    <w:rsid w:val="006C1800"/>
    <w:rsid w:val="006F6290"/>
    <w:rsid w:val="00713ED5"/>
    <w:rsid w:val="00725175"/>
    <w:rsid w:val="0072780A"/>
    <w:rsid w:val="008043BB"/>
    <w:rsid w:val="00826E8E"/>
    <w:rsid w:val="00840E2E"/>
    <w:rsid w:val="0087706F"/>
    <w:rsid w:val="008814E7"/>
    <w:rsid w:val="008929E4"/>
    <w:rsid w:val="008C541E"/>
    <w:rsid w:val="008E7611"/>
    <w:rsid w:val="009057F2"/>
    <w:rsid w:val="00906B9D"/>
    <w:rsid w:val="0090710B"/>
    <w:rsid w:val="00937906"/>
    <w:rsid w:val="00937AA2"/>
    <w:rsid w:val="009572B1"/>
    <w:rsid w:val="009A5B89"/>
    <w:rsid w:val="009F24A3"/>
    <w:rsid w:val="00A2259C"/>
    <w:rsid w:val="00AD028F"/>
    <w:rsid w:val="00AF4926"/>
    <w:rsid w:val="00B014AF"/>
    <w:rsid w:val="00B0234B"/>
    <w:rsid w:val="00B75E81"/>
    <w:rsid w:val="00B97F23"/>
    <w:rsid w:val="00BA3A0C"/>
    <w:rsid w:val="00BB0F80"/>
    <w:rsid w:val="00BC7E43"/>
    <w:rsid w:val="00C11C84"/>
    <w:rsid w:val="00C16C3A"/>
    <w:rsid w:val="00C36414"/>
    <w:rsid w:val="00C4777B"/>
    <w:rsid w:val="00C5586C"/>
    <w:rsid w:val="00C55B3D"/>
    <w:rsid w:val="00C63A65"/>
    <w:rsid w:val="00CB6A6B"/>
    <w:rsid w:val="00CD4054"/>
    <w:rsid w:val="00D51719"/>
    <w:rsid w:val="00D73EF2"/>
    <w:rsid w:val="00D76839"/>
    <w:rsid w:val="00DB1FA6"/>
    <w:rsid w:val="00DD0BAD"/>
    <w:rsid w:val="00DF06D2"/>
    <w:rsid w:val="00DF6E61"/>
    <w:rsid w:val="00E26248"/>
    <w:rsid w:val="00E97E93"/>
    <w:rsid w:val="00F042B2"/>
    <w:rsid w:val="00F275B2"/>
    <w:rsid w:val="00F930AD"/>
    <w:rsid w:val="00F953FD"/>
    <w:rsid w:val="00F954E8"/>
    <w:rsid w:val="00FC16CD"/>
    <w:rsid w:val="00FF5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0B"/>
  </w:style>
  <w:style w:type="paragraph" w:styleId="1">
    <w:name w:val="heading 1"/>
    <w:basedOn w:val="a"/>
    <w:next w:val="a"/>
    <w:link w:val="10"/>
    <w:uiPriority w:val="9"/>
    <w:qFormat/>
    <w:rsid w:val="00BB0F80"/>
    <w:pPr>
      <w:keepNext/>
      <w:numPr>
        <w:numId w:val="22"/>
      </w:numPr>
      <w:suppressAutoHyphens/>
      <w:spacing w:after="0" w:line="300" w:lineRule="auto"/>
      <w:ind w:left="0" w:firstLine="720"/>
      <w:jc w:val="both"/>
      <w:outlineLvl w:val="0"/>
    </w:pPr>
    <w:rPr>
      <w:rFonts w:ascii="Times New Roman" w:eastAsia="Times New Roman" w:hAnsi="Times New Roman" w:cs="Times New Roman"/>
      <w:b/>
      <w:sz w:val="26"/>
      <w:szCs w:val="20"/>
      <w:lang w:val="en-US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F80"/>
    <w:pPr>
      <w:keepNext/>
      <w:keepLines/>
      <w:spacing w:before="40" w:after="0"/>
      <w:outlineLvl w:val="1"/>
    </w:pPr>
    <w:rPr>
      <w:rFonts w:ascii="Calibri Light" w:eastAsia="Times New Roman" w:hAnsi="Calibri Light" w:cs="Mangal"/>
      <w:color w:val="2F5496"/>
      <w:sz w:val="26"/>
      <w:szCs w:val="23"/>
      <w:lang w:eastAsia="hi-IN" w:bidi="hi-IN"/>
    </w:rPr>
  </w:style>
  <w:style w:type="paragraph" w:styleId="3">
    <w:name w:val="heading 3"/>
    <w:basedOn w:val="a"/>
    <w:next w:val="a"/>
    <w:link w:val="30"/>
    <w:qFormat/>
    <w:rsid w:val="00BB0F80"/>
    <w:pPr>
      <w:keepNext/>
      <w:numPr>
        <w:ilvl w:val="2"/>
        <w:numId w:val="22"/>
      </w:numPr>
      <w:suppressAutoHyphens/>
      <w:spacing w:after="0" w:line="300" w:lineRule="auto"/>
      <w:jc w:val="center"/>
      <w:outlineLvl w:val="2"/>
    </w:pPr>
    <w:rPr>
      <w:rFonts w:ascii="Times New Roman" w:eastAsia="Times New Roman" w:hAnsi="Times New Roman" w:cs="Times New Roman"/>
      <w:b/>
      <w:szCs w:val="20"/>
      <w:lang w:val="en-US" w:eastAsia="hi-IN" w:bidi="hi-IN"/>
    </w:rPr>
  </w:style>
  <w:style w:type="paragraph" w:styleId="4">
    <w:name w:val="heading 4"/>
    <w:basedOn w:val="a"/>
    <w:next w:val="a"/>
    <w:link w:val="40"/>
    <w:qFormat/>
    <w:rsid w:val="00BB0F80"/>
    <w:pPr>
      <w:keepNext/>
      <w:numPr>
        <w:ilvl w:val="3"/>
        <w:numId w:val="22"/>
      </w:numPr>
      <w:suppressAutoHyphens/>
      <w:spacing w:after="0" w:line="300" w:lineRule="auto"/>
      <w:ind w:left="0" w:firstLine="720"/>
      <w:jc w:val="both"/>
      <w:outlineLvl w:val="3"/>
    </w:pPr>
    <w:rPr>
      <w:rFonts w:ascii="Times New Roman" w:eastAsia="Times New Roman" w:hAnsi="Times New Roman" w:cs="Times New Roman"/>
      <w:b/>
      <w:sz w:val="26"/>
      <w:szCs w:val="20"/>
      <w:u w:val="single"/>
      <w:lang w:val="en-US" w:eastAsia="hi-IN" w:bidi="hi-IN"/>
    </w:rPr>
  </w:style>
  <w:style w:type="paragraph" w:styleId="5">
    <w:name w:val="heading 5"/>
    <w:basedOn w:val="a"/>
    <w:next w:val="a"/>
    <w:link w:val="50"/>
    <w:qFormat/>
    <w:rsid w:val="00BB0F80"/>
    <w:pPr>
      <w:keepNext/>
      <w:numPr>
        <w:ilvl w:val="4"/>
        <w:numId w:val="22"/>
      </w:numPr>
      <w:suppressAutoHyphens/>
      <w:spacing w:after="0" w:line="30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  <w:lang w:val="en-US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8F"/>
    <w:pPr>
      <w:ind w:left="720"/>
      <w:contextualSpacing/>
    </w:pPr>
  </w:style>
  <w:style w:type="table" w:styleId="a4">
    <w:name w:val="Table Grid"/>
    <w:basedOn w:val="a1"/>
    <w:uiPriority w:val="39"/>
    <w:rsid w:val="008C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B0F80"/>
    <w:rPr>
      <w:rFonts w:ascii="Times New Roman" w:eastAsia="Times New Roman" w:hAnsi="Times New Roman" w:cs="Times New Roman"/>
      <w:b/>
      <w:sz w:val="26"/>
      <w:szCs w:val="20"/>
      <w:lang w:val="en-US" w:eastAsia="hi-IN" w:bidi="hi-IN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BB0F80"/>
    <w:pPr>
      <w:keepNext/>
      <w:keepLines/>
      <w:suppressAutoHyphens/>
      <w:spacing w:before="40" w:after="0" w:line="240" w:lineRule="auto"/>
      <w:outlineLvl w:val="1"/>
    </w:pPr>
    <w:rPr>
      <w:rFonts w:ascii="Calibri Light" w:eastAsia="Times New Roman" w:hAnsi="Calibri Light" w:cs="Mangal"/>
      <w:color w:val="2F5496"/>
      <w:sz w:val="26"/>
      <w:szCs w:val="23"/>
      <w:lang w:eastAsia="hi-IN" w:bidi="hi-IN"/>
    </w:rPr>
  </w:style>
  <w:style w:type="character" w:customStyle="1" w:styleId="30">
    <w:name w:val="Заголовок 3 Знак"/>
    <w:basedOn w:val="a0"/>
    <w:link w:val="3"/>
    <w:rsid w:val="00BB0F80"/>
    <w:rPr>
      <w:rFonts w:ascii="Times New Roman" w:eastAsia="Times New Roman" w:hAnsi="Times New Roman" w:cs="Times New Roman"/>
      <w:b/>
      <w:szCs w:val="20"/>
      <w:lang w:val="en-US" w:eastAsia="hi-IN" w:bidi="hi-IN"/>
    </w:rPr>
  </w:style>
  <w:style w:type="character" w:customStyle="1" w:styleId="40">
    <w:name w:val="Заголовок 4 Знак"/>
    <w:basedOn w:val="a0"/>
    <w:link w:val="4"/>
    <w:rsid w:val="00BB0F80"/>
    <w:rPr>
      <w:rFonts w:ascii="Times New Roman" w:eastAsia="Times New Roman" w:hAnsi="Times New Roman" w:cs="Times New Roman"/>
      <w:b/>
      <w:sz w:val="26"/>
      <w:szCs w:val="20"/>
      <w:u w:val="single"/>
      <w:lang w:val="en-US" w:eastAsia="hi-IN" w:bidi="hi-IN"/>
    </w:rPr>
  </w:style>
  <w:style w:type="character" w:customStyle="1" w:styleId="50">
    <w:name w:val="Заголовок 5 Знак"/>
    <w:basedOn w:val="a0"/>
    <w:link w:val="5"/>
    <w:rsid w:val="00BB0F80"/>
    <w:rPr>
      <w:rFonts w:ascii="Times New Roman" w:eastAsia="Times New Roman" w:hAnsi="Times New Roman" w:cs="Times New Roman"/>
      <w:b/>
      <w:sz w:val="20"/>
      <w:szCs w:val="20"/>
      <w:lang w:val="en-US" w:eastAsia="hi-IN" w:bidi="hi-IN"/>
    </w:rPr>
  </w:style>
  <w:style w:type="numbering" w:customStyle="1" w:styleId="11">
    <w:name w:val="Нет списка1"/>
    <w:next w:val="a2"/>
    <w:uiPriority w:val="99"/>
    <w:semiHidden/>
    <w:unhideWhenUsed/>
    <w:rsid w:val="00BB0F80"/>
  </w:style>
  <w:style w:type="character" w:customStyle="1" w:styleId="20">
    <w:name w:val="Заголовок 2 Знак"/>
    <w:basedOn w:val="a0"/>
    <w:link w:val="2"/>
    <w:uiPriority w:val="9"/>
    <w:semiHidden/>
    <w:rsid w:val="00BB0F80"/>
    <w:rPr>
      <w:rFonts w:ascii="Calibri Light" w:eastAsia="Times New Roman" w:hAnsi="Calibri Light" w:cs="Mangal"/>
      <w:color w:val="2F5496"/>
      <w:sz w:val="26"/>
      <w:szCs w:val="23"/>
      <w:lang w:eastAsia="hi-IN" w:bidi="hi-IN"/>
    </w:rPr>
  </w:style>
  <w:style w:type="paragraph" w:styleId="a5">
    <w:name w:val="Body Text Indent"/>
    <w:basedOn w:val="a"/>
    <w:link w:val="a6"/>
    <w:rsid w:val="00BB0F80"/>
    <w:pPr>
      <w:suppressAutoHyphens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val="en-US"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BB0F80"/>
    <w:rPr>
      <w:rFonts w:ascii="Times New Roman" w:eastAsia="Times New Roman" w:hAnsi="Times New Roman" w:cs="Times New Roman"/>
      <w:sz w:val="26"/>
      <w:szCs w:val="20"/>
      <w:lang w:val="en-US" w:eastAsia="hi-IN" w:bidi="hi-IN"/>
    </w:rPr>
  </w:style>
  <w:style w:type="paragraph" w:styleId="a7">
    <w:name w:val="Body Text"/>
    <w:basedOn w:val="a"/>
    <w:link w:val="a8"/>
    <w:uiPriority w:val="99"/>
    <w:semiHidden/>
    <w:unhideWhenUsed/>
    <w:rsid w:val="00BB0F80"/>
    <w:pPr>
      <w:suppressAutoHyphens/>
      <w:spacing w:after="120" w:line="240" w:lineRule="auto"/>
    </w:pPr>
    <w:rPr>
      <w:rFonts w:ascii="Times New Roman" w:eastAsia="Times New Roman" w:hAnsi="Times New Roman" w:cs="Mangal"/>
      <w:sz w:val="26"/>
      <w:szCs w:val="20"/>
      <w:lang w:eastAsia="hi-IN" w:bidi="hi-IN"/>
    </w:rPr>
  </w:style>
  <w:style w:type="character" w:customStyle="1" w:styleId="a8">
    <w:name w:val="Основной текст Знак"/>
    <w:basedOn w:val="a0"/>
    <w:link w:val="a7"/>
    <w:uiPriority w:val="99"/>
    <w:semiHidden/>
    <w:rsid w:val="00BB0F80"/>
    <w:rPr>
      <w:rFonts w:ascii="Times New Roman" w:eastAsia="Times New Roman" w:hAnsi="Times New Roman" w:cs="Mangal"/>
      <w:sz w:val="26"/>
      <w:szCs w:val="20"/>
      <w:lang w:eastAsia="hi-IN" w:bidi="hi-IN"/>
    </w:rPr>
  </w:style>
  <w:style w:type="paragraph" w:customStyle="1" w:styleId="31">
    <w:name w:val="Основной текст с отступом 31"/>
    <w:basedOn w:val="a"/>
    <w:rsid w:val="00BB0F80"/>
    <w:pPr>
      <w:suppressAutoHyphens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b/>
      <w:i/>
      <w:sz w:val="26"/>
      <w:szCs w:val="20"/>
      <w:lang w:eastAsia="ar-SA"/>
    </w:rPr>
  </w:style>
  <w:style w:type="paragraph" w:styleId="22">
    <w:name w:val="Body Text 2"/>
    <w:basedOn w:val="a"/>
    <w:link w:val="23"/>
    <w:uiPriority w:val="99"/>
    <w:semiHidden/>
    <w:unhideWhenUsed/>
    <w:rsid w:val="00BB0F80"/>
    <w:pPr>
      <w:suppressAutoHyphens/>
      <w:spacing w:after="120" w:line="480" w:lineRule="auto"/>
    </w:pPr>
    <w:rPr>
      <w:rFonts w:ascii="Times New Roman" w:eastAsia="Times New Roman" w:hAnsi="Times New Roman" w:cs="Mangal"/>
      <w:sz w:val="26"/>
      <w:szCs w:val="20"/>
      <w:lang w:eastAsia="hi-IN" w:bidi="hi-IN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BB0F80"/>
    <w:rPr>
      <w:rFonts w:ascii="Times New Roman" w:eastAsia="Times New Roman" w:hAnsi="Times New Roman" w:cs="Mangal"/>
      <w:sz w:val="26"/>
      <w:szCs w:val="20"/>
      <w:lang w:eastAsia="hi-IN" w:bidi="hi-IN"/>
    </w:rPr>
  </w:style>
  <w:style w:type="paragraph" w:customStyle="1" w:styleId="a9">
    <w:name w:val="Содержимое таблицы"/>
    <w:basedOn w:val="a"/>
    <w:rsid w:val="00BB0F8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BB0F80"/>
    <w:pPr>
      <w:suppressAutoHyphens/>
      <w:spacing w:after="0" w:line="240" w:lineRule="auto"/>
    </w:pPr>
    <w:rPr>
      <w:rFonts w:ascii="Tahoma" w:eastAsia="Times New Roman" w:hAnsi="Tahoma" w:cs="Mangal"/>
      <w:sz w:val="16"/>
      <w:szCs w:val="14"/>
      <w:lang w:eastAsia="hi-IN" w:bidi="hi-IN"/>
    </w:rPr>
  </w:style>
  <w:style w:type="character" w:customStyle="1" w:styleId="ab">
    <w:name w:val="Текст выноски Знак"/>
    <w:basedOn w:val="a0"/>
    <w:link w:val="aa"/>
    <w:uiPriority w:val="99"/>
    <w:semiHidden/>
    <w:rsid w:val="00BB0F80"/>
    <w:rPr>
      <w:rFonts w:ascii="Tahoma" w:eastAsia="Times New Roman" w:hAnsi="Tahoma" w:cs="Mangal"/>
      <w:sz w:val="16"/>
      <w:szCs w:val="14"/>
      <w:lang w:eastAsia="hi-IN" w:bidi="hi-IN"/>
    </w:rPr>
  </w:style>
  <w:style w:type="character" w:customStyle="1" w:styleId="210">
    <w:name w:val="Заголовок 2 Знак1"/>
    <w:basedOn w:val="a0"/>
    <w:uiPriority w:val="9"/>
    <w:semiHidden/>
    <w:rsid w:val="00BB0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24">
    <w:name w:val="Нет списка2"/>
    <w:next w:val="a2"/>
    <w:uiPriority w:val="99"/>
    <w:semiHidden/>
    <w:unhideWhenUsed/>
    <w:rsid w:val="008814E7"/>
  </w:style>
  <w:style w:type="paragraph" w:styleId="ac">
    <w:name w:val="Normal (Web)"/>
    <w:basedOn w:val="a"/>
    <w:uiPriority w:val="99"/>
    <w:unhideWhenUsed/>
    <w:rsid w:val="0088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8814E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e">
    <w:name w:val="Верхний колонтитул Знак"/>
    <w:basedOn w:val="a0"/>
    <w:link w:val="ad"/>
    <w:uiPriority w:val="99"/>
    <w:rsid w:val="008814E7"/>
    <w:rPr>
      <w:rFonts w:ascii="Times New Roman" w:hAnsi="Times New Roman"/>
      <w:sz w:val="24"/>
    </w:rPr>
  </w:style>
  <w:style w:type="paragraph" w:styleId="af">
    <w:name w:val="footer"/>
    <w:basedOn w:val="a"/>
    <w:link w:val="af0"/>
    <w:unhideWhenUsed/>
    <w:rsid w:val="008814E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0">
    <w:name w:val="Нижний колонтитул Знак"/>
    <w:basedOn w:val="a0"/>
    <w:link w:val="af"/>
    <w:rsid w:val="008814E7"/>
    <w:rPr>
      <w:rFonts w:ascii="Times New Roman" w:hAnsi="Times New Roman"/>
      <w:sz w:val="24"/>
    </w:rPr>
  </w:style>
  <w:style w:type="paragraph" w:styleId="af1">
    <w:name w:val="No Spacing"/>
    <w:uiPriority w:val="1"/>
    <w:qFormat/>
    <w:rsid w:val="008814E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f2">
    <w:name w:val="Без интервала Знак"/>
    <w:basedOn w:val="a0"/>
    <w:uiPriority w:val="1"/>
    <w:rsid w:val="008814E7"/>
  </w:style>
  <w:style w:type="character" w:styleId="af3">
    <w:name w:val="Placeholder Text"/>
    <w:basedOn w:val="a0"/>
    <w:uiPriority w:val="99"/>
    <w:semiHidden/>
    <w:rsid w:val="008814E7"/>
    <w:rPr>
      <w:color w:val="808080"/>
    </w:rPr>
  </w:style>
  <w:style w:type="character" w:styleId="af4">
    <w:name w:val="Book Title"/>
    <w:basedOn w:val="a0"/>
    <w:uiPriority w:val="33"/>
    <w:qFormat/>
    <w:rsid w:val="008814E7"/>
    <w:rPr>
      <w:b/>
      <w:bCs/>
      <w:i/>
      <w:iCs/>
      <w:spacing w:val="5"/>
    </w:rPr>
  </w:style>
  <w:style w:type="paragraph" w:customStyle="1" w:styleId="corp">
    <w:name w:val="Название_corp"/>
    <w:qFormat/>
    <w:rsid w:val="008814E7"/>
    <w:rPr>
      <w:rFonts w:ascii="Times New Roman" w:hAnsi="Times New Roman"/>
      <w:sz w:val="24"/>
    </w:rPr>
  </w:style>
  <w:style w:type="paragraph" w:customStyle="1" w:styleId="corp0">
    <w:name w:val="Подзаголовок_corp"/>
    <w:basedOn w:val="a"/>
    <w:qFormat/>
    <w:rsid w:val="008814E7"/>
    <w:rPr>
      <w:rFonts w:ascii="Times New Roman" w:hAnsi="Times New Roman"/>
      <w:sz w:val="24"/>
    </w:rPr>
  </w:style>
  <w:style w:type="paragraph" w:styleId="af5">
    <w:name w:val="Title"/>
    <w:basedOn w:val="a"/>
    <w:next w:val="a"/>
    <w:link w:val="af6"/>
    <w:uiPriority w:val="10"/>
    <w:qFormat/>
    <w:rsid w:val="00881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88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rp1">
    <w:name w:val="Название_corp Знак"/>
    <w:basedOn w:val="a0"/>
    <w:rsid w:val="008814E7"/>
  </w:style>
  <w:style w:type="paragraph" w:customStyle="1" w:styleId="corp2">
    <w:name w:val="Заголовок_corp"/>
    <w:basedOn w:val="1"/>
    <w:qFormat/>
    <w:rsid w:val="008814E7"/>
    <w:pPr>
      <w:keepLines/>
      <w:numPr>
        <w:numId w:val="0"/>
      </w:numPr>
      <w:suppressAutoHyphens w:val="0"/>
      <w:spacing w:before="240" w:line="259" w:lineRule="auto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en-US" w:bidi="ar-SA"/>
    </w:rPr>
  </w:style>
  <w:style w:type="paragraph" w:styleId="af7">
    <w:name w:val="Subtitle"/>
    <w:basedOn w:val="a"/>
    <w:next w:val="a"/>
    <w:link w:val="af8"/>
    <w:uiPriority w:val="11"/>
    <w:qFormat/>
    <w:rsid w:val="00881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8814E7"/>
    <w:rPr>
      <w:rFonts w:eastAsiaTheme="minorEastAsia"/>
      <w:color w:val="5A5A5A" w:themeColor="text1" w:themeTint="A5"/>
      <w:spacing w:val="15"/>
    </w:rPr>
  </w:style>
  <w:style w:type="character" w:customStyle="1" w:styleId="corp3">
    <w:name w:val="Подзаголовок_corp Знак"/>
    <w:basedOn w:val="a0"/>
    <w:rsid w:val="008814E7"/>
  </w:style>
  <w:style w:type="paragraph" w:customStyle="1" w:styleId="corp4">
    <w:name w:val="Текст_corp"/>
    <w:basedOn w:val="a"/>
    <w:qFormat/>
    <w:rsid w:val="008814E7"/>
    <w:rPr>
      <w:rFonts w:ascii="Times New Roman" w:hAnsi="Times New Roman"/>
      <w:sz w:val="24"/>
    </w:rPr>
  </w:style>
  <w:style w:type="character" w:customStyle="1" w:styleId="corp5">
    <w:name w:val="Заголовок_corp Знак"/>
    <w:basedOn w:val="corp3"/>
    <w:rsid w:val="008814E7"/>
  </w:style>
  <w:style w:type="character" w:customStyle="1" w:styleId="corp6">
    <w:name w:val="Текст_corp Знак"/>
    <w:basedOn w:val="a0"/>
    <w:rsid w:val="008814E7"/>
  </w:style>
  <w:style w:type="table" w:customStyle="1" w:styleId="12">
    <w:name w:val="Сетка таблицы1"/>
    <w:basedOn w:val="a1"/>
    <w:next w:val="a4"/>
    <w:rsid w:val="008814E7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8814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27" Type="http://schemas.microsoft.com/office/2007/relationships/diagramDrawing" Target="diagrams/drawing1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DA8B7-B561-423F-8B06-68BB77CC6749}">
      <dsp:nvSpPr>
        <dsp:cNvPr id="0" name=""/>
        <dsp:cNvSpPr/>
      </dsp:nvSpPr>
      <dsp:spPr>
        <a:xfrm>
          <a:off x="94095" y="0"/>
          <a:ext cx="1145091" cy="37575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 составу</a:t>
          </a:r>
          <a:endParaRPr lang="ru-RU" sz="800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05100" y="11005"/>
        <a:ext cx="1123081" cy="353744"/>
      </dsp:txXfrm>
    </dsp:sp>
    <dsp:sp modelId="{754D92B9-F3AE-41A4-B5BF-ED061A6DA38A}">
      <dsp:nvSpPr>
        <dsp:cNvPr id="0" name=""/>
        <dsp:cNvSpPr/>
      </dsp:nvSpPr>
      <dsp:spPr>
        <a:xfrm>
          <a:off x="208604" y="375754"/>
          <a:ext cx="129802" cy="219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513"/>
              </a:lnTo>
              <a:lnTo>
                <a:pt x="129802" y="21951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16D16-0917-4FD4-864D-6430861B8742}">
      <dsp:nvSpPr>
        <dsp:cNvPr id="0" name=""/>
        <dsp:cNvSpPr/>
      </dsp:nvSpPr>
      <dsp:spPr>
        <a:xfrm>
          <a:off x="338407" y="448499"/>
          <a:ext cx="859641" cy="2935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Денежные средства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7004" y="457096"/>
        <a:ext cx="842447" cy="276341"/>
      </dsp:txXfrm>
    </dsp:sp>
    <dsp:sp modelId="{AB44417D-1872-4032-8AE2-20BE68E2C37F}">
      <dsp:nvSpPr>
        <dsp:cNvPr id="0" name=""/>
        <dsp:cNvSpPr/>
      </dsp:nvSpPr>
      <dsp:spPr>
        <a:xfrm>
          <a:off x="208604" y="375754"/>
          <a:ext cx="129802" cy="54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412"/>
              </a:lnTo>
              <a:lnTo>
                <a:pt x="129802" y="54041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FF29E-6F54-433C-ADA9-218C1FF87C13}">
      <dsp:nvSpPr>
        <dsp:cNvPr id="0" name=""/>
        <dsp:cNvSpPr/>
      </dsp:nvSpPr>
      <dsp:spPr>
        <a:xfrm>
          <a:off x="338407" y="789169"/>
          <a:ext cx="859641" cy="25399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Запасы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5846" y="796608"/>
        <a:ext cx="844763" cy="239116"/>
      </dsp:txXfrm>
    </dsp:sp>
    <dsp:sp modelId="{E78AD490-D85A-44C3-8BA4-29EEB893256E}">
      <dsp:nvSpPr>
        <dsp:cNvPr id="0" name=""/>
        <dsp:cNvSpPr/>
      </dsp:nvSpPr>
      <dsp:spPr>
        <a:xfrm>
          <a:off x="208604" y="375754"/>
          <a:ext cx="129802" cy="86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723"/>
              </a:lnTo>
              <a:lnTo>
                <a:pt x="129802" y="86172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47D23-B860-41B5-B6A7-87458B66C037}">
      <dsp:nvSpPr>
        <dsp:cNvPr id="0" name=""/>
        <dsp:cNvSpPr/>
      </dsp:nvSpPr>
      <dsp:spPr>
        <a:xfrm>
          <a:off x="338407" y="1067480"/>
          <a:ext cx="859641" cy="33999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Незавершенное производство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8365" y="1077438"/>
        <a:ext cx="839725" cy="320078"/>
      </dsp:txXfrm>
    </dsp:sp>
    <dsp:sp modelId="{4DE9E0C1-683A-4DF2-8C16-F9D7B94E89A2}">
      <dsp:nvSpPr>
        <dsp:cNvPr id="0" name=""/>
        <dsp:cNvSpPr/>
      </dsp:nvSpPr>
      <dsp:spPr>
        <a:xfrm>
          <a:off x="208604" y="375754"/>
          <a:ext cx="129802" cy="123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276"/>
              </a:lnTo>
              <a:lnTo>
                <a:pt x="129802" y="123027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09C3-1FD8-43B4-8270-EFCA752349B8}">
      <dsp:nvSpPr>
        <dsp:cNvPr id="0" name=""/>
        <dsp:cNvSpPr/>
      </dsp:nvSpPr>
      <dsp:spPr>
        <a:xfrm>
          <a:off x="338407" y="1436033"/>
          <a:ext cx="859641" cy="33999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Готовая продукция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8365" y="1445991"/>
        <a:ext cx="839725" cy="320078"/>
      </dsp:txXfrm>
    </dsp:sp>
    <dsp:sp modelId="{4C32EB49-93FE-4D51-8D61-1C64CDAE9705}">
      <dsp:nvSpPr>
        <dsp:cNvPr id="0" name=""/>
        <dsp:cNvSpPr/>
      </dsp:nvSpPr>
      <dsp:spPr>
        <a:xfrm>
          <a:off x="208604" y="375754"/>
          <a:ext cx="129802" cy="1619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594"/>
              </a:lnTo>
              <a:lnTo>
                <a:pt x="129802" y="161959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91229-1EBE-4C16-8A06-685A3318E436}">
      <dsp:nvSpPr>
        <dsp:cNvPr id="0" name=""/>
        <dsp:cNvSpPr/>
      </dsp:nvSpPr>
      <dsp:spPr>
        <a:xfrm>
          <a:off x="338407" y="1821100"/>
          <a:ext cx="859641" cy="34849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Дебиторская задолженность</a:t>
          </a:r>
        </a:p>
      </dsp:txBody>
      <dsp:txXfrm>
        <a:off x="348614" y="1831307"/>
        <a:ext cx="839227" cy="328082"/>
      </dsp:txXfrm>
    </dsp:sp>
    <dsp:sp modelId="{D1CD8035-D2BB-46FA-96D5-D000DBF51EF9}">
      <dsp:nvSpPr>
        <dsp:cNvPr id="0" name=""/>
        <dsp:cNvSpPr/>
      </dsp:nvSpPr>
      <dsp:spPr>
        <a:xfrm>
          <a:off x="208604" y="375754"/>
          <a:ext cx="129802" cy="1958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174"/>
              </a:lnTo>
              <a:lnTo>
                <a:pt x="129802" y="195817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5D11C-7104-484A-8764-CA0565E1A66F}">
      <dsp:nvSpPr>
        <dsp:cNvPr id="0" name=""/>
        <dsp:cNvSpPr/>
      </dsp:nvSpPr>
      <dsp:spPr>
        <a:xfrm>
          <a:off x="338407" y="2207750"/>
          <a:ext cx="859641" cy="2523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Финансовые вложения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5798" y="2215141"/>
        <a:ext cx="844859" cy="237574"/>
      </dsp:txXfrm>
    </dsp:sp>
    <dsp:sp modelId="{DBF53607-9A26-442C-ADD3-0E13ECBDA504}">
      <dsp:nvSpPr>
        <dsp:cNvPr id="0" name=""/>
        <dsp:cNvSpPr/>
      </dsp:nvSpPr>
      <dsp:spPr>
        <a:xfrm>
          <a:off x="1367509" y="1483"/>
          <a:ext cx="1103926" cy="37542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 сфере обслуживания</a:t>
          </a:r>
          <a:endParaRPr lang="ru-RU" sz="800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378505" y="12479"/>
        <a:ext cx="1081934" cy="353435"/>
      </dsp:txXfrm>
    </dsp:sp>
    <dsp:sp modelId="{2FCF6667-1F5E-4A46-9A17-33F64D7DC1B5}">
      <dsp:nvSpPr>
        <dsp:cNvPr id="0" name=""/>
        <dsp:cNvSpPr/>
      </dsp:nvSpPr>
      <dsp:spPr>
        <a:xfrm>
          <a:off x="1477901" y="376910"/>
          <a:ext cx="119891" cy="30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26"/>
              </a:lnTo>
              <a:lnTo>
                <a:pt x="119891" y="3094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D3F6F-3695-46B9-9AE4-B161E5CA1D0D}">
      <dsp:nvSpPr>
        <dsp:cNvPr id="0" name=""/>
        <dsp:cNvSpPr/>
      </dsp:nvSpPr>
      <dsp:spPr>
        <a:xfrm>
          <a:off x="1597792" y="448372"/>
          <a:ext cx="969317" cy="475929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Оборотные производственные фонды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11731" y="462311"/>
        <a:ext cx="941439" cy="448051"/>
      </dsp:txXfrm>
    </dsp:sp>
    <dsp:sp modelId="{47523A10-6CE7-468F-804A-6294A51F0823}">
      <dsp:nvSpPr>
        <dsp:cNvPr id="0" name=""/>
        <dsp:cNvSpPr/>
      </dsp:nvSpPr>
      <dsp:spPr>
        <a:xfrm>
          <a:off x="1477901" y="376910"/>
          <a:ext cx="119891" cy="88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1572"/>
              </a:lnTo>
              <a:lnTo>
                <a:pt x="119891" y="88157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CBFD9-E110-49EE-84E3-82896F06426D}">
      <dsp:nvSpPr>
        <dsp:cNvPr id="0" name=""/>
        <dsp:cNvSpPr/>
      </dsp:nvSpPr>
      <dsp:spPr>
        <a:xfrm>
          <a:off x="1597792" y="1020517"/>
          <a:ext cx="969317" cy="47593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Фонды обращения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11732" y="1034457"/>
        <a:ext cx="941437" cy="448052"/>
      </dsp:txXfrm>
    </dsp:sp>
    <dsp:sp modelId="{8A718174-0D60-4EF4-AD9E-B2C42BE2B17D}">
      <dsp:nvSpPr>
        <dsp:cNvPr id="0" name=""/>
        <dsp:cNvSpPr/>
      </dsp:nvSpPr>
      <dsp:spPr>
        <a:xfrm>
          <a:off x="2603405" y="1483"/>
          <a:ext cx="1072907" cy="37542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 принципам планирования</a:t>
          </a:r>
        </a:p>
      </dsp:txBody>
      <dsp:txXfrm>
        <a:off x="2614401" y="12479"/>
        <a:ext cx="1050915" cy="353435"/>
      </dsp:txXfrm>
    </dsp:sp>
    <dsp:sp modelId="{0EB16D93-B64F-44A2-AB0C-A191D1651B25}">
      <dsp:nvSpPr>
        <dsp:cNvPr id="0" name=""/>
        <dsp:cNvSpPr/>
      </dsp:nvSpPr>
      <dsp:spPr>
        <a:xfrm>
          <a:off x="2710696" y="376910"/>
          <a:ext cx="110388" cy="219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83"/>
              </a:lnTo>
              <a:lnTo>
                <a:pt x="110388" y="21928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20D4D-E530-40D3-8A2D-8E192205EDAC}">
      <dsp:nvSpPr>
        <dsp:cNvPr id="0" name=""/>
        <dsp:cNvSpPr/>
      </dsp:nvSpPr>
      <dsp:spPr>
        <a:xfrm>
          <a:off x="2821084" y="457815"/>
          <a:ext cx="855093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Нормируемые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829190" y="465921"/>
        <a:ext cx="838881" cy="260546"/>
      </dsp:txXfrm>
    </dsp:sp>
    <dsp:sp modelId="{4C0F06A6-988A-44C7-A8C3-FC593D9E08C5}">
      <dsp:nvSpPr>
        <dsp:cNvPr id="0" name=""/>
        <dsp:cNvSpPr/>
      </dsp:nvSpPr>
      <dsp:spPr>
        <a:xfrm>
          <a:off x="2710696" y="376910"/>
          <a:ext cx="110388" cy="576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874"/>
              </a:lnTo>
              <a:lnTo>
                <a:pt x="110388" y="57687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F8815-8F69-4244-83DE-C8819FBC599B}">
      <dsp:nvSpPr>
        <dsp:cNvPr id="0" name=""/>
        <dsp:cNvSpPr/>
      </dsp:nvSpPr>
      <dsp:spPr>
        <a:xfrm>
          <a:off x="2821084" y="815406"/>
          <a:ext cx="855093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Ненормируемые</a:t>
          </a:r>
        </a:p>
      </dsp:txBody>
      <dsp:txXfrm>
        <a:off x="2829190" y="823512"/>
        <a:ext cx="838881" cy="260546"/>
      </dsp:txXfrm>
    </dsp:sp>
    <dsp:sp modelId="{D3769205-CA9C-4935-A4CF-82B8D28FB09B}">
      <dsp:nvSpPr>
        <dsp:cNvPr id="0" name=""/>
        <dsp:cNvSpPr/>
      </dsp:nvSpPr>
      <dsp:spPr>
        <a:xfrm>
          <a:off x="3755183" y="1483"/>
          <a:ext cx="1105936" cy="37542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 источникам формирования</a:t>
          </a:r>
        </a:p>
      </dsp:txBody>
      <dsp:txXfrm>
        <a:off x="3766179" y="12479"/>
        <a:ext cx="1083944" cy="353435"/>
      </dsp:txXfrm>
    </dsp:sp>
    <dsp:sp modelId="{50B2F261-4A6B-4880-96EB-6E6DEDB99DEA}">
      <dsp:nvSpPr>
        <dsp:cNvPr id="0" name=""/>
        <dsp:cNvSpPr/>
      </dsp:nvSpPr>
      <dsp:spPr>
        <a:xfrm>
          <a:off x="3865777" y="376910"/>
          <a:ext cx="98776" cy="209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40"/>
              </a:lnTo>
              <a:lnTo>
                <a:pt x="98776" y="20984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46A55-1E8C-48FF-AF56-D58653988AAE}">
      <dsp:nvSpPr>
        <dsp:cNvPr id="0" name=""/>
        <dsp:cNvSpPr/>
      </dsp:nvSpPr>
      <dsp:spPr>
        <a:xfrm>
          <a:off x="3964553" y="448372"/>
          <a:ext cx="855093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Собственные</a:t>
          </a:r>
        </a:p>
      </dsp:txBody>
      <dsp:txXfrm>
        <a:off x="3972659" y="456478"/>
        <a:ext cx="838881" cy="260546"/>
      </dsp:txXfrm>
    </dsp:sp>
    <dsp:sp modelId="{4B969289-4480-44DE-AF54-F82B2B401BB4}">
      <dsp:nvSpPr>
        <dsp:cNvPr id="0" name=""/>
        <dsp:cNvSpPr/>
      </dsp:nvSpPr>
      <dsp:spPr>
        <a:xfrm>
          <a:off x="3865777" y="376910"/>
          <a:ext cx="98776" cy="55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8115"/>
              </a:lnTo>
              <a:lnTo>
                <a:pt x="98776" y="55811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2E2D6-333B-4230-BD23-4287FEE9EEFD}">
      <dsp:nvSpPr>
        <dsp:cNvPr id="0" name=""/>
        <dsp:cNvSpPr/>
      </dsp:nvSpPr>
      <dsp:spPr>
        <a:xfrm>
          <a:off x="3964553" y="796647"/>
          <a:ext cx="855093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Заемные</a:t>
          </a:r>
        </a:p>
      </dsp:txBody>
      <dsp:txXfrm>
        <a:off x="3972659" y="804753"/>
        <a:ext cx="838881" cy="260546"/>
      </dsp:txXfrm>
    </dsp:sp>
    <dsp:sp modelId="{93A81D33-789B-4030-877E-1F94F6E01A02}">
      <dsp:nvSpPr>
        <dsp:cNvPr id="0" name=""/>
        <dsp:cNvSpPr/>
      </dsp:nvSpPr>
      <dsp:spPr>
        <a:xfrm>
          <a:off x="3865777" y="376910"/>
          <a:ext cx="114212" cy="889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9262"/>
              </a:lnTo>
              <a:lnTo>
                <a:pt x="114212" y="88926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695EE-4F0A-405E-812F-786C0CC024A1}">
      <dsp:nvSpPr>
        <dsp:cNvPr id="0" name=""/>
        <dsp:cNvSpPr/>
      </dsp:nvSpPr>
      <dsp:spPr>
        <a:xfrm>
          <a:off x="3979989" y="1127794"/>
          <a:ext cx="855093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Привлеченные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88095" y="1135900"/>
        <a:ext cx="838881" cy="260546"/>
      </dsp:txXfrm>
    </dsp:sp>
    <dsp:sp modelId="{B6BDC53B-E541-40A9-ABFE-7487F1B1C52B}">
      <dsp:nvSpPr>
        <dsp:cNvPr id="0" name=""/>
        <dsp:cNvSpPr/>
      </dsp:nvSpPr>
      <dsp:spPr>
        <a:xfrm>
          <a:off x="4937017" y="1483"/>
          <a:ext cx="1101984" cy="37542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 степени ликвидности</a:t>
          </a:r>
        </a:p>
      </dsp:txBody>
      <dsp:txXfrm>
        <a:off x="4948013" y="12479"/>
        <a:ext cx="1079992" cy="353435"/>
      </dsp:txXfrm>
    </dsp:sp>
    <dsp:sp modelId="{66C053A9-B4F2-4F81-8C92-7A28D1C534A3}">
      <dsp:nvSpPr>
        <dsp:cNvPr id="0" name=""/>
        <dsp:cNvSpPr/>
      </dsp:nvSpPr>
      <dsp:spPr>
        <a:xfrm>
          <a:off x="5047216" y="376910"/>
          <a:ext cx="126176" cy="219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83"/>
              </a:lnTo>
              <a:lnTo>
                <a:pt x="126176" y="21928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F40AB-28B9-4788-BCBD-55332C199627}">
      <dsp:nvSpPr>
        <dsp:cNvPr id="0" name=""/>
        <dsp:cNvSpPr/>
      </dsp:nvSpPr>
      <dsp:spPr>
        <a:xfrm>
          <a:off x="5173392" y="457815"/>
          <a:ext cx="855231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Абсолютно ликвидные</a:t>
          </a:r>
        </a:p>
      </dsp:txBody>
      <dsp:txXfrm>
        <a:off x="5181498" y="465921"/>
        <a:ext cx="839019" cy="260546"/>
      </dsp:txXfrm>
    </dsp:sp>
    <dsp:sp modelId="{F9E8B409-D508-4739-867E-3476E66E59C9}">
      <dsp:nvSpPr>
        <dsp:cNvPr id="0" name=""/>
        <dsp:cNvSpPr/>
      </dsp:nvSpPr>
      <dsp:spPr>
        <a:xfrm>
          <a:off x="5047216" y="376910"/>
          <a:ext cx="126176" cy="567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558"/>
              </a:lnTo>
              <a:lnTo>
                <a:pt x="126176" y="56755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A4100-44DD-4668-AA49-B0E4106927AA}">
      <dsp:nvSpPr>
        <dsp:cNvPr id="0" name=""/>
        <dsp:cNvSpPr/>
      </dsp:nvSpPr>
      <dsp:spPr>
        <a:xfrm>
          <a:off x="5173392" y="806090"/>
          <a:ext cx="855231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Быстро реализуемые</a:t>
          </a:r>
        </a:p>
      </dsp:txBody>
      <dsp:txXfrm>
        <a:off x="5181498" y="814196"/>
        <a:ext cx="839019" cy="260546"/>
      </dsp:txXfrm>
    </dsp:sp>
    <dsp:sp modelId="{8F160538-455C-410D-BDC3-381E3963095B}">
      <dsp:nvSpPr>
        <dsp:cNvPr id="0" name=""/>
        <dsp:cNvSpPr/>
      </dsp:nvSpPr>
      <dsp:spPr>
        <a:xfrm>
          <a:off x="5047216" y="376910"/>
          <a:ext cx="126176" cy="898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705"/>
              </a:lnTo>
              <a:lnTo>
                <a:pt x="126176" y="89870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2E455-5961-4E88-9507-0180E760D63A}">
      <dsp:nvSpPr>
        <dsp:cNvPr id="0" name=""/>
        <dsp:cNvSpPr/>
      </dsp:nvSpPr>
      <dsp:spPr>
        <a:xfrm>
          <a:off x="5173392" y="1137237"/>
          <a:ext cx="855231" cy="27675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Медленно реализуемые</a:t>
          </a:r>
          <a:endParaRPr lang="ru-RU" sz="8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5181498" y="1145343"/>
        <a:ext cx="839019" cy="260546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C0B31-B8ED-4307-B5ED-7BD67518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43</cp:revision>
  <dcterms:created xsi:type="dcterms:W3CDTF">2020-06-11T06:54:00Z</dcterms:created>
  <dcterms:modified xsi:type="dcterms:W3CDTF">2020-10-24T10:06:00Z</dcterms:modified>
</cp:coreProperties>
</file>