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dc3bbca08dc8b24978db60a3ca44a37a12b093c"/>
    <w:p>
      <w:pPr>
        <w:pStyle w:val="Heading1"/>
      </w:pPr>
      <w:r>
        <w:t xml:space="preserve">What predicts a trustworthy explanation? Per-instance reliability certificates for feature attributions, across omics</w:t>
      </w:r>
    </w:p>
    <w:p>
      <w:pPr>
        <w:pStyle w:val="FirstParagraph"/>
      </w:pPr>
      <w:r>
        <w:rPr>
          <w:i/>
          <w:iCs/>
        </w:rPr>
        <w:t xml:space="preserve">Draft v0.1 (P10). All numbers trace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</w:t>
      </w:r>
      <w:r>
        <w:rPr>
          <w:i/>
          <w:iCs/>
        </w:rPr>
        <w:t xml:space="preserve"> </w:t>
      </w:r>
      <w:r>
        <w:rPr>
          <w:i/>
          <w:iCs/>
        </w:rPr>
        <w:t xml:space="preserve">(commit-pinned). Author: Amit Shenoy.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Paper 1 of this program showed that feature attributions for ADMET/toxicity models are</w:t>
      </w:r>
      <w:r>
        <w:t xml:space="preserve"> </w:t>
      </w:r>
      <w:r>
        <w:t xml:space="preserve">usually</w:t>
      </w:r>
      <w:r>
        <w:t xml:space="preserve"> </w:t>
      </w:r>
      <w:r>
        <w:rPr>
          <w:i/>
          <w:iCs/>
        </w:rPr>
        <w:t xml:space="preserve">faithful</w:t>
      </w:r>
      <w:r>
        <w:t xml:space="preserve"> </w:t>
      </w:r>
      <w:r>
        <w:t xml:space="preserve">but disagree across methods and often fail model-randomization sanity</w:t>
      </w:r>
      <w:r>
        <w:t xml:space="preserve"> </w:t>
      </w:r>
      <w:r>
        <w:t xml:space="preserve">checks — i.e. faithfulness is necessary but not sufficient for trust. A natural next step 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per-prediction trust score</w:t>
      </w:r>
      <w:r>
        <w:t xml:space="preserve">: a cheap signal telling a practitioner whether to believe a</w:t>
      </w:r>
      <w:r>
        <w:t xml:space="preserve"> </w:t>
      </w:r>
      <w:r>
        <w:t xml:space="preserve">given explanation. We ask whether such a per-instance certificate is feasible, and what it</w:t>
      </w:r>
      <w:r>
        <w:t xml:space="preserve"> </w:t>
      </w:r>
      <w:r>
        <w:t xml:space="preserve">must be built from. Testing on real ADMET/tox models and generalizing to transcriptomics and</w:t>
      </w:r>
      <w:r>
        <w:t xml:space="preserve"> </w:t>
      </w:r>
      <w:r>
        <w:t xml:space="preserve">sequence tasks, we report three findings. First, the</w:t>
      </w:r>
      <w:r>
        <w:t xml:space="preserve"> </w:t>
      </w:r>
      <w:r>
        <w:rPr>
          <w:i/>
          <w:iCs/>
        </w:rPr>
        <w:t xml:space="preserve">intuitive</w:t>
      </w:r>
      <w:r>
        <w:t xml:space="preserve"> </w:t>
      </w:r>
      <w:r>
        <w:t xml:space="preserve">signals fail: neither</w:t>
      </w:r>
      <w:r>
        <w:t xml:space="preserve"> </w:t>
      </w:r>
      <w:r>
        <w:t xml:space="preserve">cross-method consensus nor — confirming Paper 1 — distribution distance predicts which</w:t>
      </w:r>
      <w:r>
        <w:t xml:space="preserve"> </w:t>
      </w:r>
      <w:r>
        <w:t xml:space="preserve">individual explanations are faithful (within-cell AUROC ≈ 0.53; an apparent pooled signal was</w:t>
      </w:r>
      <w:r>
        <w:t xml:space="preserve"> </w:t>
      </w:r>
      <w:r>
        <w:t xml:space="preserve">Simpson’s paradox). Second, per-instance faithfulness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nonetheless predictable (within-cell AUROC 0.69 on</w:t>
      </w:r>
      <w:r>
        <w:t xml:space="preserve"> </w:t>
      </w:r>
      <w:r>
        <w:t xml:space="preserve">molecules), and certificate-guided abstention raises the mean faithfulness of retained</w:t>
      </w:r>
      <w:r>
        <w:t xml:space="preserve"> </w:t>
      </w:r>
      <w:r>
        <w:t xml:space="preserve">explanations by +0.11 at 50% coverage (95% CI [+0.06, +0.17]). But — and this is the paper’s</w:t>
      </w:r>
      <w:r>
        <w:t xml:space="preserve"> </w:t>
      </w:r>
      <w:r>
        <w:t xml:space="preserve">most important and sobering result — we trace that predictability</w:t>
      </w:r>
      <w:r>
        <w:t xml:space="preserve"> </w:t>
      </w:r>
      <w:r>
        <w:rPr>
          <w:b/>
          <w:bCs/>
        </w:rPr>
        <w:t xml:space="preserve">almost entirely to model</w:t>
      </w:r>
      <w:r>
        <w:rPr>
          <w:b/>
          <w:bCs/>
        </w:rPr>
        <w:t xml:space="preserve"> </w:t>
      </w:r>
      <w:r>
        <w:rPr>
          <w:b/>
          <w:bCs/>
        </w:rPr>
        <w:t xml:space="preserve">confidence</w:t>
      </w:r>
      <w:r>
        <w:t xml:space="preserve">: an explanation-agnostic confidence-only gate already reaches AUROC 0.68, and the</w:t>
      </w:r>
      <w:r>
        <w:t xml:space="preserve"> </w:t>
      </w:r>
      <w:r>
        <w:t xml:space="preserve">attribution-specific signals (magnitude, concentration, consensus, stability) add only +0.01;</w:t>
      </w:r>
      <w:r>
        <w:t xml:space="preserve"> </w:t>
      </w:r>
      <w:r>
        <w:t xml:space="preserve">distribution distance adds nothing. Attribution magnitude retains only a weak</w:t>
      </w:r>
      <w:r>
        <w:t xml:space="preserve"> </w:t>
      </w:r>
      <w:r>
        <w:t xml:space="preserve">confidence-independent signal (partial correlation 0.22). Third, this predictability</w:t>
      </w:r>
      <w:r>
        <w:t xml:space="preserve"> </w:t>
      </w:r>
      <w:r>
        <w:rPr>
          <w:b/>
          <w:bCs/>
        </w:rPr>
        <w:t xml:space="preserve">transfers across modalities</w:t>
      </w:r>
      <w:r>
        <w:t xml:space="preserve"> </w:t>
      </w:r>
      <w:r>
        <w:t xml:space="preserve">— AUROC 0.86 on a leukemia microarray (transcriptomics) and</w:t>
      </w:r>
      <w:r>
        <w:t xml:space="preserve"> </w:t>
      </w:r>
      <w:r>
        <w:t xml:space="preserve">0.81 on a sequence-transformer task — but only when the underlying model is itself competent</w:t>
      </w:r>
      <w:r>
        <w:t xml:space="preserve"> </w:t>
      </w:r>
      <w:r>
        <w:t xml:space="preserve">(a near-chance model yields an uninformative certificate). The practical upshot is deflating</w:t>
      </w:r>
      <w:r>
        <w:t xml:space="preserve"> </w:t>
      </w:r>
      <w:r>
        <w:t xml:space="preserve">in a useful way: a</w:t>
      </w:r>
      <w:r>
        <w:t xml:space="preserve"> </w:t>
      </w:r>
      <w:r>
        <w:rPr>
          <w:b/>
          <w:bCs/>
        </w:rPr>
        <w:t xml:space="preserve">cheap model-confidence gate triages explanation trustworthiness about as</w:t>
      </w:r>
      <w:r>
        <w:rPr>
          <w:b/>
          <w:bCs/>
        </w:rPr>
        <w:t xml:space="preserve"> </w:t>
      </w:r>
      <w:r>
        <w:rPr>
          <w:b/>
          <w:bCs/>
        </w:rPr>
        <w:t xml:space="preserve">well as any elaborate explanation-aware certificate</w:t>
      </w:r>
      <w:r>
        <w:t xml:space="preserve">, and practitioners should be wary of</w:t>
      </w:r>
      <w:r>
        <w:t xml:space="preserve"> </w:t>
      </w:r>
      <w:r>
        <w:t xml:space="preserve">per-instance</w:t>
      </w:r>
      <w:r>
        <w:t xml:space="preserve"> </w:t>
      </w:r>
      <w:r>
        <w:t xml:space="preserve">“explanation trust scores”</w:t>
      </w:r>
      <w:r>
        <w:t xml:space="preserve"> </w:t>
      </w:r>
      <w:r>
        <w:t xml:space="preserve">that are largely confidence in disguise. What a</w:t>
      </w:r>
      <w:r>
        <w:t xml:space="preserve"> </w:t>
      </w:r>
      <w:r>
        <w:t xml:space="preserve">certificate can honestly offer is a confidence-based triage that certifies self-consistency</w:t>
      </w:r>
      <w:r>
        <w:t xml:space="preserve"> </w:t>
      </w:r>
      <w:r>
        <w:t xml:space="preserve">(not correctness) and presupposes a model that has learned the task.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Post-hoc attributions are read one prediction at a time, yet they are evaluated (Paper 1; the</w:t>
      </w:r>
      <w:r>
        <w:t xml:space="preserve"> </w:t>
      </w:r>
      <w:r>
        <w:t xml:space="preserve">XAI literature) in aggregate. A practitioner deciding whether to act on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compound’s</w:t>
      </w:r>
      <w:r>
        <w:t xml:space="preserve"> </w:t>
      </w:r>
      <w:r>
        <w:t xml:space="preserve">explanation needs a</w:t>
      </w:r>
      <w:r>
        <w:t xml:space="preserve"> </w:t>
      </w:r>
      <w:r>
        <w:rPr>
          <w:i/>
          <w:iCs/>
        </w:rPr>
        <w:t xml:space="preserve">per-instance</w:t>
      </w:r>
      <w:r>
        <w:t xml:space="preserve"> </w:t>
      </w:r>
      <w:r>
        <w:t xml:space="preserve">reliability signal. The intuitive candidates are: does this</w:t>
      </w:r>
      <w:r>
        <w:t xml:space="preserve"> </w:t>
      </w:r>
      <w:r>
        <w:t xml:space="preserve">explanation agree across methods (consensus)? is the input in-distribution (applicability</w:t>
      </w:r>
      <w:r>
        <w:t xml:space="preserve"> </w:t>
      </w:r>
      <w:r>
        <w:t xml:space="preserve">domain)? is the explanation locally stable? We test whether any of these — or a learned</w:t>
      </w:r>
      <w:r>
        <w:t xml:space="preserve"> </w:t>
      </w:r>
      <w:r>
        <w:t xml:space="preserve">combination — predicts per-instance faithfulness, and whether a resulting certificate is</w:t>
      </w:r>
      <w:r>
        <w:t xml:space="preserve"> </w:t>
      </w:r>
      <w:r>
        <w:t xml:space="preserve">useful (improves a triage workflow) and general (works beyond small molecules).</w:t>
      </w:r>
    </w:p>
    <w:p>
      <w:pPr>
        <w:pStyle w:val="BodyText"/>
      </w:pPr>
      <w:r>
        <w:t xml:space="preserve">This paper is deliberately reported as the</w:t>
      </w:r>
      <w:r>
        <w:t xml:space="preserve"> </w:t>
      </w:r>
      <w:r>
        <w:rPr>
          <w:i/>
          <w:iCs/>
        </w:rPr>
        <w:t xml:space="preserve">process</w:t>
      </w:r>
      <w:r>
        <w:t xml:space="preserve"> </w:t>
      </w:r>
      <w:r>
        <w:t xml:space="preserve">unfolded, including two intermediate</w:t>
      </w:r>
      <w:r>
        <w:t xml:space="preserve"> </w:t>
      </w:r>
      <w:r>
        <w:t xml:space="preserve">hypotheses we falsified, because the negative steps are themselves informative.</w:t>
      </w:r>
    </w:p>
    <w:bookmarkEnd w:id="21"/>
    <w:bookmarkStart w:id="22" w:name="methods"/>
    <w:p>
      <w:pPr>
        <w:pStyle w:val="Heading2"/>
      </w:pPr>
      <w:r>
        <w:t xml:space="preserve">2. Methods</w:t>
      </w:r>
    </w:p>
    <w:p>
      <w:pPr>
        <w:pStyle w:val="FirstParagraph"/>
      </w:pPr>
      <w:r>
        <w:rPr>
          <w:b/>
          <w:bCs/>
        </w:rPr>
        <w:t xml:space="preserve">Faithfulness (ground truth for</w:t>
      </w:r>
      <w:r>
        <w:rPr>
          <w:b/>
          <w:bCs/>
        </w:rPr>
        <w:t xml:space="preserve"> </w:t>
      </w:r>
      <w:r>
        <w:rPr>
          <w:b/>
          <w:bCs/>
        </w:rPr>
        <w:t xml:space="preserve">“trustworthy”</w:t>
      </w:r>
      <w:r>
        <w:rPr>
          <w:b/>
          <w:bCs/>
        </w:rPr>
        <w:t xml:space="preserve">).</w:t>
      </w:r>
      <w:r>
        <w:t xml:space="preserve"> </w:t>
      </w:r>
      <w:r>
        <w:t xml:space="preserve">Per-molecule comprehensiveness — the drop</w:t>
      </w:r>
      <w:r>
        <w:t xml:space="preserve"> </w:t>
      </w:r>
      <w:r>
        <w:t xml:space="preserve">in the predicted quantity when an instance’s own top-attributed features are masked (AOPC over</w:t>
      </w:r>
      <w:r>
        <w:t xml:space="preserve"> </w:t>
      </w:r>
      <w:r>
        <w:t xml:space="preserve">fractions). Validated against ROAR in Paper 1 (Spearman 0.93). An instance is</w:t>
      </w:r>
      <w:r>
        <w:t xml:space="preserve"> </w:t>
      </w:r>
      <w:r>
        <w:t xml:space="preserve">“faithful”</w:t>
      </w:r>
      <w:r>
        <w:t xml:space="preserve"> </w:t>
      </w:r>
      <w:r>
        <w:t xml:space="preserve">if</w:t>
      </w:r>
      <w:r>
        <w:t xml:space="preserve"> </w:t>
      </w:r>
      <w:r>
        <w:t xml:space="preserve">its comprehensiveness exceeds the matched random-attribution null.</w:t>
      </w:r>
    </w:p>
    <w:p>
      <w:pPr>
        <w:pStyle w:val="BodyText"/>
      </w:pPr>
      <w:r>
        <w:rPr>
          <w:b/>
          <w:bCs/>
        </w:rPr>
        <w:t xml:space="preserve">Candidate certificate features (per instance).</w:t>
      </w:r>
      <w:r>
        <w:t xml:space="preserve"> </w:t>
      </w:r>
      <w:r>
        <w:t xml:space="preserve">consensus (cross-method rank agreement,</w:t>
      </w:r>
      <w:r>
        <w:t xml:space="preserve"> </w:t>
      </w:r>
      <w:r>
        <w:t xml:space="preserve">SHAP/IG vs LIME), local stability (worst-case attribution change under bounded perturbation),</w:t>
      </w:r>
      <w:r>
        <w:t xml:space="preserve"> </w:t>
      </w:r>
      <w:r>
        <w:t xml:space="preserve">model confidence and class margin, k-NN distance in feature space (applicability density),</w:t>
      </w:r>
      <w:r>
        <w:t xml:space="preserve"> </w:t>
      </w:r>
      <w:r>
        <w:t xml:space="preserve">and the attribution’s L2 magnitude and entropy.</w:t>
      </w:r>
    </w:p>
    <w:p>
      <w:pPr>
        <w:pStyle w:val="BodyText"/>
      </w:pPr>
      <w:r>
        <w:rPr>
          <w:b/>
          <w:bCs/>
        </w:rPr>
        <w:t xml:space="preserve">Honest evaluation.</w:t>
      </w:r>
      <w:r>
        <w:t xml:space="preserve"> </w:t>
      </w:r>
      <w:r>
        <w:t xml:space="preserve">Because faithfulness varies across (model × endpoint) cells, a certifier</w:t>
      </w:r>
      <w:r>
        <w:t xml:space="preserve"> </w:t>
      </w:r>
      <w:r>
        <w:t xml:space="preserve">can look good</w:t>
      </w:r>
      <w:r>
        <w:t xml:space="preserve"> </w:t>
      </w:r>
      <w:r>
        <w:rPr>
          <w:i/>
          <w:iCs/>
        </w:rPr>
        <w:t xml:space="preserve">pooled</w:t>
      </w:r>
      <w:r>
        <w:t xml:space="preserve"> </w:t>
      </w:r>
      <w:r>
        <w:t xml:space="preserve">merely by ranking faithful cells above unfaithful ones. We therefore</w:t>
      </w:r>
      <w:r>
        <w:t xml:space="preserve"> </w:t>
      </w:r>
      <w:r>
        <w:rPr>
          <w:b/>
          <w:bCs/>
        </w:rPr>
        <w:t xml:space="preserve">cell-center</w:t>
      </w:r>
      <w:r>
        <w:t xml:space="preserve"> </w:t>
      </w:r>
      <w:r>
        <w:t xml:space="preserve">features and evaluate</w:t>
      </w:r>
      <w:r>
        <w:t xml:space="preserve"> </w:t>
      </w:r>
      <w:r>
        <w:rPr>
          <w:b/>
          <w:bCs/>
        </w:rPr>
        <w:t xml:space="preserve">within-cell</w:t>
      </w:r>
      <w:r>
        <w:t xml:space="preserve"> </w:t>
      </w:r>
      <w:r>
        <w:t xml:space="preserve">(per-cell held-out AUROC under</w:t>
      </w:r>
      <w:r>
        <w:t xml:space="preserve"> </w:t>
      </w:r>
      <w:r>
        <w:t xml:space="preserve">cross-validation). This is the test that matters and the one that defeated our first attempt.</w:t>
      </w:r>
    </w:p>
    <w:p>
      <w:pPr>
        <w:pStyle w:val="BodyText"/>
      </w:pPr>
      <w:r>
        <w:rPr>
          <w:b/>
          <w:bCs/>
        </w:rPr>
        <w:t xml:space="preserve">Data / models.</w:t>
      </w:r>
      <w:r>
        <w:t xml:space="preserve"> </w:t>
      </w:r>
      <w:r>
        <w:t xml:space="preserve">Molecules: the 12 ADMET/tox endpoints and models from Paper 1 (descriptors,</w:t>
      </w:r>
      <w:r>
        <w:t xml:space="preserve"> </w:t>
      </w:r>
      <w:r>
        <w:t xml:space="preserve">RF/MLP). Transcriptomics: Golub leukemia microarray (72 samples × 7,129 genes, ALL vs AML),</w:t>
      </w:r>
      <w:r>
        <w:t xml:space="preserve"> </w:t>
      </w:r>
      <w:r>
        <w:t xml:space="preserve">RF, 6-fold cross-fitting. Sequence: a small transformer on token sequences with marker-driven</w:t>
      </w:r>
      <w:r>
        <w:t xml:space="preserve"> </w:t>
      </w:r>
      <w:r>
        <w:t xml:space="preserve">labels; attention-rollout and leave-one-token-out occlusion attributions.</w:t>
      </w:r>
    </w:p>
    <w:bookmarkEnd w:id="22"/>
    <w:bookmarkStart w:id="28" w:name="results"/>
    <w:p>
      <w:pPr>
        <w:pStyle w:val="Heading2"/>
      </w:pPr>
      <w:r>
        <w:t xml:space="preserve">3. Results</w:t>
      </w:r>
    </w:p>
    <w:bookmarkStart w:id="23" w:name="Xaf36e64c8030a16484763f92fb8225675b6ef98"/>
    <w:p>
      <w:pPr>
        <w:pStyle w:val="Heading3"/>
      </w:pPr>
      <w:r>
        <w:t xml:space="preserve">3.1 The intuitive signals fail (two falsified hypotheses)</w:t>
      </w:r>
    </w:p>
    <w:p>
      <w:pPr>
        <w:pStyle w:val="FirstParagraph"/>
      </w:pPr>
      <w:r>
        <w:t xml:space="preserve">A two-signal certifier (consensus + stability) had a</w:t>
      </w:r>
      <w:r>
        <w:t xml:space="preserve"> </w:t>
      </w:r>
      <w:r>
        <w:rPr>
          <w:i/>
          <w:iCs/>
        </w:rPr>
        <w:t xml:space="preserve">pooled</w:t>
      </w:r>
      <w:r>
        <w:t xml:space="preserve"> </w:t>
      </w:r>
      <w:r>
        <w:t xml:space="preserve">AUROC of 0.65 — but this was</w:t>
      </w:r>
      <w:r>
        <w:t xml:space="preserve"> </w:t>
      </w:r>
      <w:r>
        <w:rPr>
          <w:b/>
          <w:bCs/>
        </w:rPr>
        <w:t xml:space="preserve">Simpson’s paradox</w:t>
      </w:r>
      <w:r>
        <w:t xml:space="preserve">: within-cell AUROC was 0.53 (stability) and 0.55 (consensus), at chance.</w:t>
      </w:r>
      <w:r>
        <w:t xml:space="preserve"> </w:t>
      </w:r>
      <w:r>
        <w:t xml:space="preserve">Consensus was non-predictive even pooled (AUROC 0.47). Combined with Paper 1’s H2 (out-of-</w:t>
      </w:r>
      <w:r>
        <w:t xml:space="preserve"> </w:t>
      </w:r>
      <w:r>
        <w:t xml:space="preserve">distribution shift did not degrade faithfulness), this rules out the three most intuitive</w:t>
      </w:r>
      <w:r>
        <w:t xml:space="preserve"> </w:t>
      </w:r>
      <w:r>
        <w:t xml:space="preserve">bases for a certificate — cross-method agreement, local stability</w:t>
      </w:r>
      <w:r>
        <w:t xml:space="preserve"> </w:t>
      </w:r>
      <w:r>
        <w:rPr>
          <w:i/>
          <w:iCs/>
        </w:rPr>
        <w:t xml:space="preserve">alone</w:t>
      </w:r>
      <w:r>
        <w:t xml:space="preserve">, and distribution</w:t>
      </w:r>
      <w:r>
        <w:t xml:space="preserve"> </w:t>
      </w:r>
      <w:r>
        <w:t xml:space="preserve">distance. We initially concluded per-instance certification was infeasible; §3.2 shows that</w:t>
      </w:r>
      <w:r>
        <w:t xml:space="preserve"> </w:t>
      </w:r>
      <w:r>
        <w:t xml:space="preserve">conclusion was premature.</w:t>
      </w:r>
    </w:p>
    <w:bookmarkEnd w:id="23"/>
    <w:bookmarkStart w:id="24" w:name="per-instance-faithfulness-is-predictable"/>
    <w:p>
      <w:pPr>
        <w:pStyle w:val="Heading3"/>
      </w:pPr>
      <w:r>
        <w:t xml:space="preserve">3.2 Per-instance faithfulness is predictable</w:t>
      </w:r>
    </w:p>
    <w:p>
      <w:pPr>
        <w:pStyle w:val="FirstParagraph"/>
      </w:pPr>
      <w:r>
        <w:t xml:space="preserve">A seven-feature learned certifier, evaluated within-cell, reaches</w:t>
      </w:r>
      <w:r>
        <w:t xml:space="preserve"> </w:t>
      </w:r>
      <w:r>
        <w:rPr>
          <w:b/>
          <w:bCs/>
        </w:rPr>
        <w:t xml:space="preserve">AUROC 0.694</w:t>
      </w:r>
      <w:r>
        <w:t xml:space="preserve"> </w:t>
      </w:r>
      <w:r>
        <w:t xml:space="preserve">on molecules.</w:t>
      </w:r>
      <w:r>
        <w:t xml:space="preserve"> </w:t>
      </w:r>
      <w:r>
        <w:t xml:space="preserve">At the univariate level the strongest within-cell correlates of faithfulness are the</w:t>
      </w:r>
      <w:r>
        <w:t xml:space="preserve"> </w:t>
      </w:r>
      <w:r>
        <w:t xml:space="preserve">attribution’s L2 magnitude (+0.38) and entropy (−0.29) and the model’s confidence/margin</w:t>
      </w:r>
      <w:r>
        <w:t xml:space="preserve"> </w:t>
      </w:r>
      <w:r>
        <w:t xml:space="preserve">(+0.26); consensus (+0.15), stability (−0.18) and k-NN density (+0.03) are weak.</w:t>
      </w:r>
    </w:p>
    <w:bookmarkEnd w:id="24"/>
    <w:bookmarkStart w:id="25" w:name="X054a4493ed56ffa826257b5c40adbf19aa3a579"/>
    <w:p>
      <w:pPr>
        <w:pStyle w:val="Heading3"/>
      </w:pPr>
      <w:r>
        <w:t xml:space="preserve">3.3 …but the certificate is largely model confidence (the key ablation)</w:t>
      </w:r>
    </w:p>
    <w:p>
      <w:pPr>
        <w:pStyle w:val="FirstParagraph"/>
      </w:pPr>
      <w:r>
        <w:t xml:space="preserve">The univariate correlations are misleading about</w:t>
      </w:r>
      <w:r>
        <w:t xml:space="preserve"> </w:t>
      </w:r>
      <w:r>
        <w:rPr>
          <w:i/>
          <w:iCs/>
        </w:rPr>
        <w:t xml:space="preserve">what carries the signal</w:t>
      </w:r>
      <w:r>
        <w:t xml:space="preserve">. An ablation</w:t>
      </w:r>
      <w:r>
        <w:t xml:space="preserve"> </w:t>
      </w:r>
      <w:r>
        <w:t xml:space="preserve">(within-cell AUROC) is decisive: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certifier</w:t>
            </w:r>
          </w:p>
        </w:tc>
        <w:tc>
          <w:tcPr/>
          <w:p>
            <w:pPr>
              <w:pStyle w:val="Compact"/>
            </w:pPr>
            <w:r>
              <w:t xml:space="preserve">within-cell AUROC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confidence-only [conf, margin]</w:t>
            </w:r>
          </w:p>
        </w:tc>
        <w:tc>
          <w:tcPr/>
          <w:p>
            <w:pPr>
              <w:pStyle w:val="Compact"/>
            </w:pPr>
            <w:r>
              <w:t xml:space="preserve">0.680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attribution-only [attr_l2, attr_entropy]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minus attribution-magnitude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(7 features)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0.694</w:t>
            </w:r>
          </w:p>
        </w:tc>
      </w:tr>
    </w:tbl>
    <w:p>
      <w:pPr>
        <w:pStyle w:val="BodyText"/>
      </w:pPr>
      <w:r>
        <w:t xml:space="preserve">The full certifier beats a confidence-only gate by only</w:t>
      </w:r>
      <w:r>
        <w:t xml:space="preserve"> </w:t>
      </w:r>
      <w:r>
        <w:rPr>
          <w:b/>
          <w:bCs/>
        </w:rPr>
        <w:t xml:space="preserve">+0.014</w:t>
      </w:r>
      <w:r>
        <w:t xml:space="preserve">, and removing attribution</w:t>
      </w:r>
      <w:r>
        <w:t xml:space="preserve"> </w:t>
      </w:r>
      <w:r>
        <w:t xml:space="preserve">magnitude does not hurt at all. Attribution-only is near chance (0.536). Controlling for</w:t>
      </w:r>
      <w:r>
        <w:t xml:space="preserve"> </w:t>
      </w:r>
      <w:r>
        <w:t xml:space="preserve">confidence, attribution magnitude retains only a weak partial correlation with faithfulness</w:t>
      </w:r>
      <w:r>
        <w:t xml:space="preserve"> </w:t>
      </w:r>
      <w:r>
        <w:t xml:space="preserve">(0.22, down from 0.46).</w:t>
      </w:r>
      <w:r>
        <w:t xml:space="preserve"> </w:t>
      </w:r>
      <w:r>
        <w:rPr>
          <w:b/>
          <w:bCs/>
        </w:rPr>
        <w:t xml:space="preserve">Per-instance explanation faithfulness is predicted predominantly by</w:t>
      </w:r>
      <w:r>
        <w:rPr>
          <w:b/>
          <w:bCs/>
        </w:rPr>
        <w:t xml:space="preserve"> </w:t>
      </w:r>
      <w:r>
        <w:rPr>
          <w:b/>
          <w:bCs/>
        </w:rPr>
        <w:t xml:space="preserve">the model’s prediction confidence; the explanation-specific signals add almost nothing</w:t>
      </w:r>
      <w:r>
        <w:t xml:space="preserve">, and</w:t>
      </w:r>
      <w:r>
        <w:t xml:space="preserve"> </w:t>
      </w:r>
      <w:r>
        <w:t xml:space="preserve">the intuitive ones (consensus, distribution distance) add nothing. This both answers and</w:t>
      </w:r>
      <w:r>
        <w:t xml:space="preserve"> </w:t>
      </w:r>
      <w:r>
        <w:t xml:space="preserve">concedes the obvious reviewer critique — the certificate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mostly confidence.</w:t>
      </w:r>
    </w:p>
    <w:bookmarkEnd w:id="25"/>
    <w:bookmarkStart w:id="26" w:name="X47a631943789e388526ad2e6873cd85cef9fbf6"/>
    <w:p>
      <w:pPr>
        <w:pStyle w:val="Heading3"/>
      </w:pPr>
      <w:r>
        <w:t xml:space="preserve">3.4 The certificate is useful for triage (C2) — but the lift is confidence-driven</w:t>
      </w:r>
    </w:p>
    <w:p>
      <w:pPr>
        <w:pStyle w:val="FirstParagraph"/>
      </w:pPr>
      <w:r>
        <w:t xml:space="preserve">Ranking explanations by the certificate and abstaining on the lowest scores raises the mean</w:t>
      </w:r>
      <w:r>
        <w:t xml:space="preserve"> </w:t>
      </w:r>
      <w:r>
        <w:t xml:space="preserve">faithfulness of the retained set monotonically: at 50% coverage, +0.114 (95% CI [+0.061,</w:t>
      </w:r>
      <w:r>
        <w:t xml:space="preserve"> </w:t>
      </w:r>
      <w:r>
        <w:t xml:space="preserve">+0.172]); at 30% coverage, +0.205. Random abstention gives no lift by construction. The</w:t>
      </w:r>
      <w:r>
        <w:t xml:space="preserve"> </w:t>
      </w:r>
      <w:r>
        <w:t xml:space="preserve">certificate thus supports a concrete triage workflow — but, given §3.3, this is in effect a</w:t>
      </w:r>
      <w:r>
        <w:t xml:space="preserve"> </w:t>
      </w:r>
      <w:r>
        <w:rPr>
          <w:i/>
          <w:iCs/>
        </w:rPr>
        <w:t xml:space="preserve">confidence-based</w:t>
      </w:r>
      <w:r>
        <w:t xml:space="preserve"> </w:t>
      </w:r>
      <w:r>
        <w:t xml:space="preserve">triage; an explanation-aware certificate is not needed to obtain most of it.</w:t>
      </w:r>
    </w:p>
    <w:bookmarkEnd w:id="26"/>
    <w:bookmarkStart w:id="27" w:name="Xf0a29d0df541895f405dce4c571f92fe41c1533"/>
    <w:p>
      <w:pPr>
        <w:pStyle w:val="Heading3"/>
      </w:pPr>
      <w:r>
        <w:t xml:space="preserve">3.5 It transfers across omics — given a competent model (C3)</w:t>
      </w:r>
    </w:p>
    <w:p>
      <w:pPr>
        <w:pStyle w:val="FirstParagraph"/>
      </w:pPr>
      <w:r>
        <w:t xml:space="preserve">The certifier transfers beyond small molecules: within-modality AUROC</w:t>
      </w:r>
      <w:r>
        <w:t xml:space="preserve"> </w:t>
      </w:r>
      <w:r>
        <w:rPr>
          <w:b/>
          <w:bCs/>
        </w:rPr>
        <w:t xml:space="preserve">0.86</w:t>
      </w:r>
      <w:r>
        <w:t xml:space="preserve"> </w:t>
      </w:r>
      <w:r>
        <w:t xml:space="preserve">(95% CI</w:t>
      </w:r>
      <w:r>
        <w:t xml:space="preserve"> </w:t>
      </w:r>
      <w:r>
        <w:t xml:space="preserve">[0.76, 0.94]) on the leukemia microarray (transcriptomics, per-gene attribution) and</w:t>
      </w:r>
      <w:r>
        <w:t xml:space="preserve"> </w:t>
      </w:r>
      <w:r>
        <w:rPr>
          <w:b/>
          <w:bCs/>
        </w:rPr>
        <w:t xml:space="preserve">0.81</w:t>
      </w:r>
      <w:r>
        <w:t xml:space="preserve"> </w:t>
      </w:r>
      <w:r>
        <w:t xml:space="preserve">(95% CI [0.76, 0.85]) on the sequence-transformer task (per-token attribution), with a +0.21</w:t>
      </w:r>
      <w:r>
        <w:t xml:space="preserve"> </w:t>
      </w:r>
      <w:r>
        <w:t xml:space="preserve">abstention lift in the sequence case. Boundary condition: an initial sequence model that barely</w:t>
      </w:r>
      <w:r>
        <w:t xml:space="preserve"> </w:t>
      </w:r>
      <w:r>
        <w:t xml:space="preserve">learned the task (test accuracy 0.57) produced an</w:t>
      </w:r>
      <w:r>
        <w:t xml:space="preserve"> </w:t>
      </w:r>
      <w:r>
        <w:rPr>
          <w:i/>
          <w:iCs/>
        </w:rPr>
        <w:t xml:space="preserve">uninformative</w:t>
      </w:r>
      <w:r>
        <w:t xml:space="preserve"> </w:t>
      </w:r>
      <w:r>
        <w:t xml:space="preserve">certificate (AUROC 0.565, CI</w:t>
      </w:r>
      <w:r>
        <w:t xml:space="preserve"> </w:t>
      </w:r>
      <w:r>
        <w:t xml:space="preserve">including 0.5); only when the model was competent (0.73) did the certificate become predictive.</w:t>
      </w:r>
      <w:r>
        <w:t xml:space="preserve"> </w:t>
      </w:r>
      <w:r>
        <w:t xml:space="preserve">The certificate presupposes a model that has learned the task.</w:t>
      </w:r>
    </w:p>
    <w:bookmarkEnd w:id="27"/>
    <w:bookmarkEnd w:id="28"/>
    <w:bookmarkStart w:id="29" w:name="related-work-and-positioning"/>
    <w:p>
      <w:pPr>
        <w:pStyle w:val="Heading2"/>
      </w:pPr>
      <w:r>
        <w:t xml:space="preserve">4. Related work and positioning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disagreement problem</w:t>
      </w:r>
      <w:r>
        <w:t xml:space="preserve"> </w:t>
      </w:r>
      <w:r>
        <w:t xml:space="preserve">(Krishna et al., 2022, TMLR) established that post-hoc methods</w:t>
      </w:r>
      <w:r>
        <w:t xml:space="preserve"> </w:t>
      </w:r>
      <w:r>
        <w:t xml:space="preserve">disagree and that practitioners resolve this with ad hoc heuristics; a subsequent line</w:t>
      </w:r>
      <w:r>
        <w:t xml:space="preserve"> </w:t>
      </w:r>
      <w:r>
        <w:t xml:space="preserve">(</w:t>
      </w:r>
      <w:r>
        <w:rPr>
          <w:i/>
          <w:iCs/>
        </w:rPr>
        <w:t xml:space="preserve">explanation consensus as a training objective</w:t>
      </w:r>
      <w:r>
        <w:t xml:space="preserve">;</w:t>
      </w:r>
      <w:r>
        <w:t xml:space="preserve"> </w:t>
      </w:r>
      <w:r>
        <w:rPr>
          <w:i/>
          <w:iCs/>
        </w:rPr>
        <w:t xml:space="preserve">aggregating explanations to resolve</w:t>
      </w:r>
      <w:r>
        <w:rPr>
          <w:i/>
          <w:iCs/>
        </w:rPr>
        <w:t xml:space="preserve"> </w:t>
      </w:r>
      <w:r>
        <w:rPr>
          <w:i/>
          <w:iCs/>
        </w:rPr>
        <w:t xml:space="preserve">disagreement</w:t>
      </w:r>
      <w:r>
        <w:t xml:space="preserve">) treats agreement as something to maximize. Our contribution is orthogonal and</w:t>
      </w:r>
      <w:r>
        <w:t xml:space="preserve"> </w:t>
      </w:r>
      <w:r>
        <w:t xml:space="preserve">partly contrarian: we test whether per-instance</w:t>
      </w:r>
      <w:r>
        <w:t xml:space="preserve"> </w:t>
      </w:r>
      <w:r>
        <w:rPr>
          <w:b/>
          <w:bCs/>
        </w:rPr>
        <w:t xml:space="preserve">consensus predicts per-instance</w:t>
      </w:r>
      <w:r>
        <w:rPr>
          <w:b/>
          <w:bCs/>
        </w:rPr>
        <w:t xml:space="preserve"> </w:t>
      </w:r>
      <w:r>
        <w:rPr>
          <w:b/>
          <w:bCs/>
        </w:rPr>
        <w:t xml:space="preserve">faithfulness</w:t>
      </w:r>
      <w:r>
        <w:t xml:space="preserve">, and find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(§3.1). Agreement between methods is therefore not, on</w:t>
      </w:r>
      <w:r>
        <w:t xml:space="preserve"> </w:t>
      </w:r>
      <w:r>
        <w:t xml:space="preserve">its own, evidence that an explanation is faithful — a caution for the aggregate-to-resolve line.</w:t>
      </w:r>
    </w:p>
    <w:p>
      <w:pPr>
        <w:pStyle w:val="BodyText"/>
      </w:pPr>
      <w:r>
        <w:t xml:space="preserve">Our certificate is</w:t>
      </w:r>
      <w:r>
        <w:t xml:space="preserve"> </w:t>
      </w:r>
      <w:r>
        <w:rPr>
          <w:b/>
          <w:bCs/>
        </w:rPr>
        <w:t xml:space="preserve">selective prediction</w:t>
      </w:r>
      <w:r>
        <w:t xml:space="preserve"> </w:t>
      </w:r>
      <w:r>
        <w:t xml:space="preserve">(Geifman &amp; El-Yaniv) applied to</w:t>
      </w:r>
      <w:r>
        <w:t xml:space="preserve"> </w:t>
      </w:r>
      <w:r>
        <w:rPr>
          <w:i/>
          <w:iCs/>
        </w:rPr>
        <w:t xml:space="preserve">explanations</w:t>
      </w:r>
      <w:r>
        <w:t xml:space="preserve"> </w:t>
      </w:r>
      <w:r>
        <w:t xml:space="preserve">rather than predictions: abstain on low-reliability explanations to raise retained-set</w:t>
      </w:r>
      <w:r>
        <w:t xml:space="preserve"> </w:t>
      </w:r>
      <w:r>
        <w:t xml:space="preserve">faithfulness. The selective-prediction literature warns that confidence-based gates give a</w:t>
      </w:r>
      <w:r>
        <w:t xml:space="preserve"> </w:t>
      </w:r>
      <w:r>
        <w:t xml:space="preserve">false sense of security when confidence is insensitive to evidence quality; our §3.3 ablation</w:t>
      </w:r>
      <w:r>
        <w:t xml:space="preserve"> </w:t>
      </w:r>
      <w:r>
        <w:t xml:space="preserve">is the explanation-side analogue of that caution — here the gate is</w:t>
      </w:r>
      <w:r>
        <w:t xml:space="preserve"> </w:t>
      </w:r>
      <w:r>
        <w:rPr>
          <w:i/>
          <w:iCs/>
        </w:rPr>
        <w:t xml:space="preserve">largely confidence</w:t>
      </w:r>
      <w:r>
        <w:t xml:space="preserve">, and</w:t>
      </w:r>
      <w:r>
        <w:t xml:space="preserve"> </w:t>
      </w:r>
      <w:r>
        <w:t xml:space="preserve">explanation-specific signals fail to improve on it.</w:t>
      </w:r>
    </w:p>
    <w:bookmarkEnd w:id="29"/>
    <w:bookmarkStart w:id="32" w:name="discussion"/>
    <w:p>
      <w:pPr>
        <w:pStyle w:val="Heading2"/>
      </w:pPr>
      <w:r>
        <w:t xml:space="preserve">5. Discussion</w:t>
      </w:r>
    </w:p>
    <w:p>
      <w:pPr>
        <w:pStyle w:val="FirstParagraph"/>
      </w:pPr>
      <w:r>
        <w:t xml:space="preserve">The honest, useful message is the opposite of the one we set out to find. We hypothesized that</w:t>
      </w:r>
      <w:r>
        <w:t xml:space="preserve"> </w:t>
      </w:r>
      <w:r>
        <w:t xml:space="preserve">per-instance explanation trust would come from explanation-intrinsic signals — cross-method</w:t>
      </w:r>
      <w:r>
        <w:t xml:space="preserve"> </w:t>
      </w:r>
      <w:r>
        <w:t xml:space="preserve">agreement, local stability, distribution distance.</w:t>
      </w:r>
      <w:r>
        <w:t xml:space="preserve"> </w:t>
      </w:r>
      <w:r>
        <w:rPr>
          <w:b/>
          <w:bCs/>
        </w:rPr>
        <w:t xml:space="preserve">All of these fail.</w:t>
      </w:r>
      <w:r>
        <w:t xml:space="preserve"> </w:t>
      </w:r>
      <w:r>
        <w:t xml:space="preserve">What does predict</w:t>
      </w:r>
      <w:r>
        <w:t xml:space="preserve"> </w:t>
      </w:r>
      <w:r>
        <w:t xml:space="preserve">per-instance faithfulness is the model’s</w:t>
      </w:r>
      <w:r>
        <w:t xml:space="preserve"> </w:t>
      </w:r>
      <w:r>
        <w:rPr>
          <w:b/>
          <w:bCs/>
        </w:rPr>
        <w:t xml:space="preserve">prediction confidence</w:t>
      </w:r>
      <w:r>
        <w:t xml:space="preserve">, and the explanation-aware</w:t>
      </w:r>
      <w:r>
        <w:t xml:space="preserve"> </w:t>
      </w:r>
      <w:r>
        <w:t xml:space="preserve">features add essentially nothing on top (§3.3). The practical recommendation is therefore</w:t>
      </w:r>
      <w:r>
        <w:t xml:space="preserve"> </w:t>
      </w:r>
      <w:r>
        <w:t xml:space="preserve">deflating but actionable:</w:t>
      </w:r>
      <w:r>
        <w:t xml:space="preserve"> </w:t>
      </w:r>
      <w:r>
        <w:rPr>
          <w:b/>
          <w:bCs/>
        </w:rPr>
        <w:t xml:space="preserve">if you want to triage which explanations to trust, a cheap model</w:t>
      </w:r>
      <w:r>
        <w:rPr>
          <w:b/>
          <w:bCs/>
        </w:rPr>
        <w:t xml:space="preserve"> </w:t>
      </w:r>
      <w:r>
        <w:rPr>
          <w:b/>
          <w:bCs/>
        </w:rPr>
        <w:t xml:space="preserve">confidence/margin gate is about as good as it gets</w:t>
      </w:r>
      <w:r>
        <w:t xml:space="preserve"> </w:t>
      </w:r>
      <w:r>
        <w:t xml:space="preserve">— do not invest in elaborate per-instance</w:t>
      </w:r>
      <w:r>
        <w:t xml:space="preserve"> </w:t>
      </w:r>
      <w:r>
        <w:t xml:space="preserve">“explanation reliability scores,”</w:t>
      </w:r>
      <w:r>
        <w:t xml:space="preserve"> </w:t>
      </w:r>
      <w:r>
        <w:t xml:space="preserve">which our results suggest are largely confidence relabeled.</w:t>
      </w:r>
      <w:r>
        <w:t xml:space="preserve"> </w:t>
      </w:r>
      <w:r>
        <w:t xml:space="preserve">The one nuance is that attribution magnitude carries a small confidence-independent signal</w:t>
      </w:r>
      <w:r>
        <w:t xml:space="preserve"> </w:t>
      </w:r>
      <w:r>
        <w:t xml:space="preserve">(partial 0.22), so a confidence+magnitude gate is marginally better than confidence alone.</w:t>
      </w:r>
    </w:p>
    <w:p>
      <w:pPr>
        <w:pStyle w:val="BodyText"/>
      </w:pPr>
      <w:r>
        <w:t xml:space="preserve">Relationship to Paper 1: Paper 1 mapped reliability at the (model × method × endpoint) level;</w:t>
      </w:r>
      <w:r>
        <w:t xml:space="preserve"> </w:t>
      </w:r>
      <w:r>
        <w:t xml:space="preserve">Paper 2 asked whether it could be made per-instance. The answer is</w:t>
      </w:r>
      <w:r>
        <w:t xml:space="preserve"> </w:t>
      </w:r>
      <w:r>
        <w:t xml:space="preserve">“only via confidence,”</w:t>
      </w:r>
      <w:r>
        <w:t xml:space="preserve"> </w:t>
      </w:r>
      <w:r>
        <w:t xml:space="preserve">which</w:t>
      </w:r>
      <w:r>
        <w:t xml:space="preserve"> </w:t>
      </w:r>
      <w:r>
        <w:t xml:space="preserve">also explains Paper 1’s surprising H2 (distribution distance does not govern per-instance</w:t>
      </w:r>
      <w:r>
        <w:t xml:space="preserve"> </w:t>
      </w:r>
      <w:r>
        <w:t xml:space="preserve">faithfulness, so OOD shift did not degrade it).</w:t>
      </w:r>
    </w:p>
    <w:bookmarkStart w:id="30" w:name="limitations-honest"/>
    <w:p>
      <w:pPr>
        <w:pStyle w:val="Heading3"/>
      </w:pPr>
      <w:r>
        <w:t xml:space="preserve">5.1 Limitations (honest)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headline is a near-null for the novel part:</w:t>
      </w:r>
      <w:r>
        <w:t xml:space="preserve"> </w:t>
      </w:r>
      <w:r>
        <w:t xml:space="preserve">the explanation-specific certificate adds</w:t>
      </w:r>
      <w:r>
        <w:t xml:space="preserve"> </w:t>
      </w:r>
      <w:r>
        <w:t xml:space="preserve">only +0.014 AUROC over model confidence. We report this rather than dress it up; the</w:t>
      </w:r>
      <w:r>
        <w:t xml:space="preserve"> </w:t>
      </w:r>
      <w:r>
        <w:t xml:space="preserve">contribution is the</w:t>
      </w:r>
      <w:r>
        <w:t xml:space="preserve"> </w:t>
      </w:r>
      <w:r>
        <w:rPr>
          <w:i/>
          <w:iCs/>
        </w:rPr>
        <w:t xml:space="preserve">negative/cautionary</w:t>
      </w:r>
      <w:r>
        <w:t xml:space="preserve"> </w:t>
      </w:r>
      <w:r>
        <w:t xml:space="preserve">result plus the confidence finding, not a new</w:t>
      </w:r>
      <w:r>
        <w:t xml:space="preserve"> </w:t>
      </w:r>
      <w:r>
        <w:t xml:space="preserve">high-performing method.</w:t>
      </w:r>
    </w:p>
    <w:p>
      <w:pPr>
        <w:pStyle w:val="Compact"/>
        <w:numPr>
          <w:ilvl w:val="0"/>
          <w:numId w:val="1001"/>
        </w:numPr>
      </w:pPr>
      <w:r>
        <w:t xml:space="preserve">The certificate measures</w:t>
      </w:r>
      <w:r>
        <w:t xml:space="preserve"> </w:t>
      </w:r>
      <w:r>
        <w:rPr>
          <w:b/>
          <w:bCs/>
        </w:rPr>
        <w:t xml:space="preserve">self-consistency / faithfulness, not correctness</w:t>
      </w:r>
      <w:r>
        <w:t xml:space="preserve"> </w:t>
      </w:r>
      <w:r>
        <w:t xml:space="preserve">— a faithful</w:t>
      </w:r>
      <w:r>
        <w:t xml:space="preserve"> </w:t>
      </w:r>
      <w:r>
        <w:t xml:space="preserve">explanation of a wrong-for-the-right-reasons model is still certified.</w:t>
      </w:r>
    </w:p>
    <w:p>
      <w:pPr>
        <w:pStyle w:val="Compact"/>
        <w:numPr>
          <w:ilvl w:val="0"/>
          <w:numId w:val="1001"/>
        </w:numPr>
      </w:pPr>
      <w:r>
        <w:t xml:space="preserve">Within-cell AUROC 0.69 on molecules is</w:t>
      </w:r>
      <w:r>
        <w:t xml:space="preserve"> </w:t>
      </w:r>
      <w:r>
        <w:rPr>
          <w:b/>
          <w:bCs/>
        </w:rPr>
        <w:t xml:space="preserve">modest</w:t>
      </w:r>
      <w:r>
        <w:t xml:space="preserve">, and largely confidence; this is triage,</w:t>
      </w:r>
      <w:r>
        <w:t xml:space="preserve"> </w:t>
      </w:r>
      <w:r>
        <w:t xml:space="preserve">not a guarantee.</w:t>
      </w:r>
    </w:p>
    <w:p>
      <w:pPr>
        <w:pStyle w:val="Compact"/>
        <w:numPr>
          <w:ilvl w:val="0"/>
          <w:numId w:val="1001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requires a competent model</w:t>
      </w:r>
      <w:r>
        <w:t xml:space="preserve"> </w:t>
      </w:r>
      <w:r>
        <w:t xml:space="preserve">(§3.5) and held-out</w:t>
      </w:r>
      <w:r>
        <w:t xml:space="preserve"> </w:t>
      </w:r>
      <w:r>
        <w:rPr>
          <w:b/>
          <w:bCs/>
        </w:rPr>
        <w:t xml:space="preserve">calibration</w:t>
      </w:r>
      <w:r>
        <w:t xml:space="preserve"> </w:t>
      </w:r>
      <w:r>
        <w:t xml:space="preserve">per deployment.</w:t>
      </w:r>
    </w:p>
    <w:p>
      <w:pPr>
        <w:pStyle w:val="Compact"/>
        <w:numPr>
          <w:ilvl w:val="0"/>
          <w:numId w:val="1001"/>
        </w:numPr>
      </w:pPr>
      <w:r>
        <w:t xml:space="preserve">Faithfulness is operationalized as comprehensiveness (hard masking); ROAR-validated (Paper 1)</w:t>
      </w:r>
      <w:r>
        <w:t xml:space="preserve"> </w:t>
      </w:r>
      <w:r>
        <w:t xml:space="preserve">but subject to the known AOPC/hard-erasure pitfalls (soft-erasure variants are future work).</w:t>
      </w:r>
    </w:p>
    <w:p>
      <w:pPr>
        <w:pStyle w:val="Compact"/>
        <w:numPr>
          <w:ilvl w:val="0"/>
          <w:numId w:val="1001"/>
        </w:numPr>
      </w:pPr>
      <w:r>
        <w:t xml:space="preserve">The transcriptomics test has small n (72; mitigated by cross-fitting + bootstrap CI), and the</w:t>
      </w:r>
      <w:r>
        <w:t xml:space="preserve"> </w:t>
      </w:r>
      <w:r>
        <w:t xml:space="preserve">sequence task is synthetic-but-structured.</w:t>
      </w:r>
    </w:p>
    <w:bookmarkEnd w:id="30"/>
    <w:bookmarkStart w:id="31" w:name="conclusion"/>
    <w:p>
      <w:pPr>
        <w:pStyle w:val="Heading3"/>
      </w:pPr>
      <w:r>
        <w:t xml:space="preserve">5.2 Conclusion</w:t>
      </w:r>
    </w:p>
    <w:p>
      <w:pPr>
        <w:pStyle w:val="FirstParagraph"/>
      </w:pPr>
      <w:r>
        <w:t xml:space="preserve">We set out to build a per-instance</w:t>
      </w:r>
      <w:r>
        <w:t xml:space="preserve"> </w:t>
      </w:r>
      <w:r>
        <w:t xml:space="preserve">“explanation trust score”</w:t>
      </w:r>
      <w:r>
        <w:t xml:space="preserve"> </w:t>
      </w:r>
      <w:r>
        <w:t xml:space="preserve">and instead found that the</w:t>
      </w:r>
      <w:r>
        <w:t xml:space="preserve"> </w:t>
      </w:r>
      <w:r>
        <w:t xml:space="preserve">trustworthy ingredient is mostly</w:t>
      </w:r>
      <w:r>
        <w:t xml:space="preserve"> </w:t>
      </w:r>
      <w:r>
        <w:rPr>
          <w:b/>
          <w:bCs/>
        </w:rPr>
        <w:t xml:space="preserve">model confidence</w:t>
      </w:r>
      <w:r>
        <w:t xml:space="preserve">: cross-method agreement, local stability,</w:t>
      </w:r>
      <w:r>
        <w:t xml:space="preserve"> </w:t>
      </w:r>
      <w:r>
        <w:t xml:space="preserve">and distribution distance do not predict which explanations are faithful, and attribution-aware</w:t>
      </w:r>
      <w:r>
        <w:t xml:space="preserve"> </w:t>
      </w:r>
      <w:r>
        <w:t xml:space="preserve">features add little beyond confidence. The honest, useful takeaway for industry is to triage</w:t>
      </w:r>
      <w:r>
        <w:t xml:space="preserve"> </w:t>
      </w:r>
      <w:r>
        <w:t xml:space="preserve">explanation trust with a cheap confidence/margin gate and to be skeptical of elaborate</w:t>
      </w:r>
      <w:r>
        <w:t xml:space="preserve"> </w:t>
      </w:r>
      <w:r>
        <w:t xml:space="preserve">explanation-reliability scores. This is a smaller claim than we hoped for — and a more reliable</w:t>
      </w:r>
      <w:r>
        <w:t xml:space="preserve"> </w:t>
      </w:r>
      <w:r>
        <w:t xml:space="preserve">one.</w:t>
      </w:r>
    </w:p>
    <w:bookmarkEnd w:id="31"/>
    <w:bookmarkEnd w:id="32"/>
    <w:bookmarkStart w:id="33" w:name="data-code-availability"/>
    <w:p>
      <w:pPr>
        <w:pStyle w:val="Heading2"/>
      </w:pPr>
      <w:r>
        <w:t xml:space="preserve">6. Data &amp; code availability</w:t>
      </w:r>
    </w:p>
    <w:p>
      <w:pPr>
        <w:pStyle w:val="FirstParagraph"/>
      </w:pPr>
      <w:r>
        <w:t xml:space="preserve">TDC ADMET (public); Golub leukemia (OpenML); synthetic sequence task (reproducible generator).</w:t>
      </w:r>
      <w:r>
        <w:t xml:space="preserve"> </w:t>
      </w:r>
      <w:r>
        <w:t xml:space="preserve">All drivers (</w:t>
      </w:r>
      <w:r>
        <w:rPr>
          <w:rStyle w:val="VerbatimChar"/>
        </w:rPr>
        <w:t xml:space="preserve">src/p9a_*</w:t>
      </w:r>
      <w:r>
        <w:t xml:space="preserve">,</w:t>
      </w:r>
      <w:r>
        <w:t xml:space="preserve"> </w:t>
      </w:r>
      <w:r>
        <w:rPr>
          <w:rStyle w:val="VerbatimChar"/>
        </w:rPr>
        <w:t xml:space="preserve">p9b_utility.py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p9c_*</w:t>
      </w:r>
      <w:r>
        <w:t xml:space="preserve">), per-instance feature databases, and</w:t>
      </w:r>
      <w:r>
        <w:t xml:space="preserve"> </w:t>
      </w:r>
      <w:r>
        <w:t xml:space="preserve">verdict tables are committed; metrics use the</w:t>
      </w:r>
      <w:r>
        <w:t xml:space="preserve"> </w:t>
      </w:r>
      <w:r>
        <w:rPr>
          <w:rStyle w:val="VerbatimChar"/>
        </w:rPr>
        <w:t xml:space="preserve">xai-eval-harness</w:t>
      </w:r>
      <w:r>
        <w:t xml:space="preserve">. Preregistration and the full</w:t>
      </w:r>
      <w:r>
        <w:t xml:space="preserve"> </w:t>
      </w:r>
      <w:r>
        <w:t xml:space="preserve">decision trail (including the two falsified intermediate framings) are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33"/>
    <w:bookmarkStart w:id="35" w:name="references"/>
    <w:p>
      <w:pPr>
        <w:pStyle w:val="Heading2"/>
      </w:pPr>
      <w:r>
        <w:t xml:space="preserve">7. References</w:t>
      </w:r>
    </w:p>
    <w:p>
      <w:pPr>
        <w:pStyle w:val="FirstParagraph"/>
      </w:pPr>
      <w:r>
        <w:t xml:space="preserve">BibTeX in</w:t>
      </w:r>
      <w:r>
        <w:t xml:space="preserve"> </w:t>
      </w:r>
      <w:hyperlink r:id="rId34">
        <w:r>
          <w:rPr>
            <w:rStyle w:val="VerbatimChar"/>
          </w:rPr>
          <w:t xml:space="preserve">paper/references.bib</w:t>
        </w:r>
      </w:hyperlink>
      <w:r>
        <w:t xml:space="preserve">, shared with Paper 1. Key works specific to</w:t>
      </w:r>
      <w:r>
        <w:t xml:space="preserve"> </w:t>
      </w:r>
      <w:r>
        <w:t xml:space="preserve">this paper: Geifman &amp; El-Yaniv 2017 (selective prediction); Krishna et al. 2022 (Disagreement</w:t>
      </w:r>
      <w:r>
        <w:t xml:space="preserve"> </w:t>
      </w:r>
      <w:r>
        <w:t xml:space="preserve">Problem); Golub et al. 1999 (leukemia microarray); Simpson 1951 (paradox-of-aggregation).</w:t>
      </w:r>
    </w:p>
    <w:bookmarkEnd w:id="35"/>
    <w:bookmarkStart w:id="45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The key ablation (§3.3): within-cell AUROC for predicting per-instance</w:t>
      </w:r>
      <w:r>
        <w:t xml:space="preserve"> </w:t>
      </w:r>
      <w:r>
        <w:t xml:space="preserve">faithfulness, under four feature sets. Confidence alone reaches 0.680; adding the five</w:t>
      </w:r>
      <w:r>
        <w:t xml:space="preserve"> </w:t>
      </w:r>
      <w:r>
        <w:t xml:space="preserve">explanation-specific features brings the full model to only 0.694 (+0.014). Dropping</w:t>
      </w:r>
      <w:r>
        <w:t xml:space="preserve"> </w:t>
      </w:r>
      <w:r>
        <w:t xml:space="preserve">attribution magnitude does not hurt at all. Dashed line is chance (0.5).</w:t>
      </w:r>
    </w:p>
    <w:p>
      <w:pPr>
        <w:pStyle w:val="CaptionedFigure"/>
      </w:pPr>
      <w:r>
        <w:drawing>
          <wp:inline>
            <wp:extent cx="3556679" cy="2645337"/>
            <wp:effectExtent b="0" l="0" r="0" t="0"/>
            <wp:docPr descr="Figure 1" title="" id="37" name="Picture"/>
            <a:graphic>
              <a:graphicData uri="http://schemas.openxmlformats.org/drawingml/2006/picture">
                <pic:pic>
                  <pic:nvPicPr>
                    <pic:cNvPr descr="../results/figures/pub/p2_fig1_abla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679" cy="2645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Abstention utility (C2). Mean faithfulness of the retained set as a function of</w:t>
      </w:r>
      <w:r>
        <w:t xml:space="preserve"> </w:t>
      </w:r>
      <w:r>
        <w:t xml:space="preserve">coverage (fraction retained), within-cell. Certificate-guided abstention rises monotonically;</w:t>
      </w:r>
      <w:r>
        <w:t xml:space="preserve"> </w:t>
      </w:r>
      <w:r>
        <w:t xml:space="preserve">random abstention is flat at the full-set mean. Lift at 50% coverage = +0.114 (95% CI [+0.061,</w:t>
      </w:r>
      <w:r>
        <w:t xml:space="preserve"> </w:t>
      </w:r>
      <w:r>
        <w:t xml:space="preserve">+0.172]).</w:t>
      </w:r>
    </w:p>
    <w:p>
      <w:pPr>
        <w:pStyle w:val="CaptionedFigure"/>
      </w:pPr>
      <w:r>
        <w:drawing>
          <wp:inline>
            <wp:extent cx="3330373" cy="2688152"/>
            <wp:effectExtent b="0" l="0" r="0" t="0"/>
            <wp:docPr descr="Figure 2" title="" id="40" name="Picture"/>
            <a:graphic>
              <a:graphicData uri="http://schemas.openxmlformats.org/drawingml/2006/picture">
                <pic:pic>
                  <pic:nvPicPr>
                    <pic:cNvPr descr="../results/figures/pub/p2_fig2_abstent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373" cy="2688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Cross-modality transfer (C3). Certifier AUROC on molecules (P9a-v2 within-cell</w:t>
      </w:r>
      <w:r>
        <w:t xml:space="preserve"> </w:t>
      </w:r>
      <w:r>
        <w:t xml:space="preserve">mean), transcriptomics (Golub leukemia microarray), and the sequence-transformer task. Bars</w:t>
      </w:r>
      <w:r>
        <w:t xml:space="preserve"> </w:t>
      </w:r>
      <w:r>
        <w:t xml:space="preserve">show 95% CIs where applicable; dashed line is the preregistered 0.55 bar.</w:t>
      </w:r>
    </w:p>
    <w:p>
      <w:pPr>
        <w:pStyle w:val="CaptionedFigure"/>
      </w:pPr>
      <w:r>
        <w:drawing>
          <wp:inline>
            <wp:extent cx="3156056" cy="2611697"/>
            <wp:effectExtent b="0" l="0" r="0" t="0"/>
            <wp:docPr descr="Figure 3" title="" id="43" name="Picture"/>
            <a:graphic>
              <a:graphicData uri="http://schemas.openxmlformats.org/drawingml/2006/picture">
                <pic:pic>
                  <pic:nvPicPr>
                    <pic:cNvPr descr="../results/figures/pub/p2_fig3_cross_modalit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056" cy="2611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34" Target="references.bi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references.bi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2026-05-23T21:59:02Z</dcterms:created>
  <dcterms:modified xsi:type="dcterms:W3CDTF">2026-05-23T21:59:02Z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