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33fd4e0ffec85a0fa2c2fbdaf2412886666c5a"/>
    <w:p>
      <w:pPr>
        <w:pStyle w:val="Heading1"/>
      </w:pPr>
      <w:r>
        <w:t xml:space="preserve">Decoding the bits: fingerprint distillation as a ground-truth attribution benchmark for molecular GNNs</w:t>
      </w:r>
    </w:p>
    <w:p>
      <w:pPr>
        <w:pStyle w:val="FirstParagraph"/>
      </w:pPr>
      <w:r>
        <w:rPr>
          <w:i/>
          <w:iCs/>
        </w:rPr>
        <w:t xml:space="preserve">Draft v0.1 (P13). All numbers trace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</w:t>
      </w:r>
      <w:r>
        <w:rPr>
          <w:i/>
          <w:iCs/>
        </w:rPr>
        <w:t xml:space="preserve"> </w:t>
      </w:r>
      <w:r>
        <w:rPr>
          <w:i/>
          <w:iCs/>
        </w:rPr>
        <w:t xml:space="preserve">(commit-pinned). Author: Amit Shenoy.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Evaluating attribution methods on molecular graph neural networks is bottlenecked by the</w:t>
      </w:r>
      <w:r>
        <w:t xml:space="preserve"> </w:t>
      </w:r>
      <w:r>
        <w:t xml:space="preserve">absence of</w:t>
      </w:r>
      <w:r>
        <w:t xml:space="preserve"> </w:t>
      </w:r>
      <w:r>
        <w:rPr>
          <w:i/>
          <w:iCs/>
        </w:rPr>
        <w:t xml:space="preserve">ground truth</w:t>
      </w:r>
      <w:r>
        <w:t xml:space="preserve">: prior benchmarks are either synthetic (Sanchez-Lengeling et al.,</w:t>
      </w:r>
      <w:r>
        <w:t xml:space="preserve"> </w:t>
      </w:r>
      <w:r>
        <w:t xml:space="preserve">2020) or narrow (activity-cliff substructure recovery). We propose a new, non-synthetic</w:t>
      </w:r>
      <w:r>
        <w:t xml:space="preserve"> </w:t>
      </w:r>
      <w:r>
        <w:t xml:space="preserve">ground-truth attribution benchmark obtained by</w:t>
      </w:r>
      <w:r>
        <w:t xml:space="preserve"> </w:t>
      </w:r>
      <w:r>
        <w:rPr>
          <w:b/>
          <w:bCs/>
        </w:rPr>
        <w:t xml:space="preserve">distilling</w:t>
      </w:r>
      <w:r>
        <w:t xml:space="preserve"> </w:t>
      </w:r>
      <w:r>
        <w:t xml:space="preserve">ECFP4 Morgan fingerprints into a</w:t>
      </w:r>
      <w:r>
        <w:t xml:space="preserve"> </w:t>
      </w:r>
      <w:r>
        <w:t xml:space="preserve">multi-task graph neural network: RDKit exposes, for each (molecule, bit), the exact atoms that</w:t>
      </w:r>
      <w:r>
        <w:t xml:space="preserve"> </w:t>
      </w:r>
      <w:r>
        <w:t xml:space="preserve">activated that bit (</w:t>
      </w:r>
      <w:r>
        <w:rPr>
          <w:rStyle w:val="VerbatimChar"/>
        </w:rPr>
        <w:t xml:space="preserve">bitInfo</w:t>
      </w:r>
      <w:r>
        <w:t xml:space="preserve">), giving thousands of per-instance ground-truth labels per</w:t>
      </w:r>
      <w:r>
        <w:t xml:space="preserve"> </w:t>
      </w:r>
      <w:r>
        <w:t xml:space="preserve">molecule for a cheminformatically meaningful task. A GIN trained to predict 128 frequent</w:t>
      </w:r>
      <w:r>
        <w:t xml:space="preserve"> </w:t>
      </w:r>
      <w:r>
        <w:t xml:space="preserve">Morgan bits from molecular graphs achieves a mean per-bit test AUROC of 0.77 and, on a</w:t>
      </w:r>
      <w:r>
        <w:t xml:space="preserve"> </w:t>
      </w:r>
      <w:r>
        <w:t xml:space="preserve">held-out test set of 3,434 (molecule, bit) pairs, lets us evaluate attribution methods</w:t>
      </w:r>
      <w:r>
        <w:t xml:space="preserve"> </w:t>
      </w:r>
      <w:r>
        <w:t xml:space="preserve">against the actual chemistry. Three findings emerge: (i)</w:t>
      </w:r>
      <w:r>
        <w:t xml:space="preserve"> </w:t>
      </w:r>
      <w:r>
        <w:rPr>
          <w:b/>
          <w:bCs/>
        </w:rPr>
        <w:t xml:space="preserve">atom occlusion recovers</w:t>
      </w:r>
      <w:r>
        <w:rPr>
          <w:b/>
          <w:bCs/>
        </w:rPr>
        <w:t xml:space="preserve"> </w:t>
      </w:r>
      <w:r>
        <w:rPr>
          <w:b/>
          <w:bCs/>
        </w:rPr>
        <w:t xml:space="preserve">ground-truth atoms at AUROC 0.705</w:t>
      </w:r>
      <w:r>
        <w:t xml:space="preserve"> </w:t>
      </w:r>
      <w:r>
        <w:t xml:space="preserve">(95% CI [0.697, 0.714]) — a substantive, well-powered</w:t>
      </w:r>
      <w:r>
        <w:t xml:space="preserve"> </w:t>
      </w:r>
      <w:r>
        <w:t xml:space="preserve">recovery on a non-synthetic task; (ii)</w:t>
      </w:r>
      <w:r>
        <w:t xml:space="preserve"> </w:t>
      </w:r>
      <w:r>
        <w:rPr>
          <w:b/>
          <w:bCs/>
        </w:rPr>
        <w:t xml:space="preserve">Integrated Gradients on the same GIN fails entirely</w:t>
      </w:r>
      <w:r>
        <w:t xml:space="preserve"> </w:t>
      </w:r>
      <w:r>
        <w:t xml:space="preserve">(0.497, CI [0.485, 0.508]), statistically indistinguishable from a random baseline (0.492),</w:t>
      </w:r>
      <w:r>
        <w:t xml:space="preserve"> </w:t>
      </w:r>
      <w:r>
        <w:t xml:space="preserve">even though the GIN demonstrably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attend causally to the bit-defining atoms (occlusion</w:t>
      </w:r>
      <w:r>
        <w:t xml:space="preserve"> </w:t>
      </w:r>
      <w:r>
        <w:t xml:space="preserve">finds them) — a precise, ground-truth-validated example of gradient-based attribution failing</w:t>
      </w:r>
      <w:r>
        <w:t xml:space="preserve"> </w:t>
      </w:r>
      <w:r>
        <w:t xml:space="preserve">to surface causal model behaviour; (iii)</w:t>
      </w:r>
      <w:r>
        <w:t xml:space="preserve"> </w:t>
      </w:r>
      <w:r>
        <w:rPr>
          <w:b/>
          <w:bCs/>
        </w:rPr>
        <w:t xml:space="preserve">The relationship between null-referenced faithfulness and chemical ground truth is method-set dependent and exposes a real boundary on the harness.</w:t>
      </w:r>
      <w:r>
        <w:t xml:space="preserve"> </w:t>
      </w:r>
      <w:r>
        <w:t xml:space="preserve">With the canonical three methods (IG, occlusion, random) the orderings agree (Spearman = +1.00); but extending to six methods by adding saliency, gradient × input and SmoothGrad,</w:t>
      </w:r>
      <w:r>
        <w:t xml:space="preserve"> </w:t>
      </w:r>
      <w:r>
        <w:rPr>
          <w:i/>
          <w:iCs/>
        </w:rPr>
        <w:t xml:space="preserve">all four gradient-based methods cluster at near-identical mask-faithfulness (0.16–0.18) yet only occlusion (also 0.18) recovers chemistry-defined atoms above chance</w:t>
      </w:r>
      <w:r>
        <w:t xml:space="preserve">. Harness-faithfulness and recovery decorrelate (Spearman −0.09, p=0.87, n=6 methods). The harness reliably separates faithful from null but cannot distinguish methods that are mask-faithful for the right chemical reasons from those mask-faithful for any reasons the model happens to use. Recovery is essentially independent of molecule size, ground-truth fragment size, and ground-truth coverage (|ρ| ≤ 0.08), so the benchmark is robust across molecular complexity. The benchmark</w:t>
      </w:r>
      <w:r>
        <w:t xml:space="preserve"> </w:t>
      </w:r>
      <w:r>
        <w:t xml:space="preserve">ships as a reusable resource and offers a practical byproduct: per-molecule decoding of</w:t>
      </w:r>
      <w:r>
        <w:t xml:space="preserve"> </w:t>
      </w:r>
      <w:r>
        <w:t xml:space="preserve">opaque Morgan bits via attribution on the distilled model.</w:t>
      </w:r>
    </w:p>
    <w:bookmarkEnd w:id="20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Quantitative evaluation of feature attributions on molecular GNNs is hard for one reason:</w:t>
      </w:r>
      <w:r>
        <w:t xml:space="preserve"> </w:t>
      </w:r>
      <w:r>
        <w:t xml:space="preserve">ground truth is rare. Sanchez-Lengeling et al. (2020) supply synthetic graph problems with</w:t>
      </w:r>
      <w:r>
        <w:t xml:space="preserve"> </w:t>
      </w:r>
      <w:r>
        <w:t xml:space="preserve">designed-in attribution targets; the activity-cliff line uses experimental data but only on</w:t>
      </w:r>
      <w:r>
        <w:t xml:space="preserve"> </w:t>
      </w:r>
      <w:r>
        <w:t xml:space="preserve">substructure localization. There is no abundant, non-synthetic per-instance attribution</w:t>
      </w:r>
      <w:r>
        <w:t xml:space="preserve"> </w:t>
      </w:r>
      <w:r>
        <w:t xml:space="preserve">ground truth for graph models. We provide one.</w:t>
      </w:r>
    </w:p>
    <w:p>
      <w:pPr>
        <w:pStyle w:val="BodyText"/>
      </w:pPr>
      <w:r>
        <w:t xml:space="preserve">Extended-Connectivity Fingerprints (ECFP4 / Morgan, radius 2, 1024-bit) are deterministic</w:t>
      </w:r>
      <w:r>
        <w:t xml:space="preserve"> </w:t>
      </w:r>
      <w:r>
        <w:t xml:space="preserve">hashes of atomic neighbourhoods. RDKit’s</w:t>
      </w:r>
      <w:r>
        <w:t xml:space="preserve"> </w:t>
      </w:r>
      <w:r>
        <w:rPr>
          <w:rStyle w:val="VerbatimChar"/>
        </w:rPr>
        <w:t xml:space="preserve">GetMorganFingerprintAsBitVect(..., bitInfo={})</w:t>
      </w:r>
      <w:r>
        <w:t xml:space="preserve"> </w:t>
      </w:r>
      <w:r>
        <w:t xml:space="preserve">populates a dictionary whose entries — for every bit that fires on a given molecule — list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exact atoms</w:t>
      </w:r>
      <w:r>
        <w:t xml:space="preserve"> </w:t>
      </w:r>
      <w:r>
        <w:t xml:space="preserve">that produced it. Distil that map into a GNN, and you have, for free,</w:t>
      </w:r>
      <w:r>
        <w:t xml:space="preserve"> </w:t>
      </w:r>
      <w:r>
        <w:t xml:space="preserve">ground-truth attributions: any explainer of the distilled model must point to the atoms in</w:t>
      </w:r>
      <w:r>
        <w:t xml:space="preserve"> </w:t>
      </w:r>
      <w:r>
        <w:rPr>
          <w:rStyle w:val="VerbatimChar"/>
        </w:rPr>
        <w:t xml:space="preserve">bitInfo[bit]</w:t>
      </w:r>
      <w:r>
        <w:t xml:space="preserve"> </w:t>
      </w:r>
      <w:r>
        <w:t xml:space="preserve">if it is to recover the chemistry.</w:t>
      </w:r>
    </w:p>
    <w:bookmarkStart w:id="21" w:name="position-vs-prior-work"/>
    <w:p>
      <w:pPr>
        <w:pStyle w:val="Heading3"/>
      </w:pPr>
      <w:r>
        <w:t xml:space="preserve">1.1 Position vs prior work</w:t>
      </w:r>
    </w:p>
    <w:p>
      <w:pPr>
        <w:pStyle w:val="FirstParagraph"/>
      </w:pPr>
      <w:r>
        <w:t xml:space="preserve">Sanchez-Lengeling et al. (2020) is synthetic-graph ground truth; we offer real chemistry.</w:t>
      </w:r>
      <w:r>
        <w:t xml:space="preserve"> </w:t>
      </w:r>
      <w:r>
        <w:t xml:space="preserve">McCloskey et al.’s activity-cliff benchmark uses real chemistry but is narrow (one task family);</w:t>
      </w:r>
      <w:r>
        <w:t xml:space="preserve"> </w:t>
      </w:r>
      <w:r>
        <w:t xml:space="preserve">ours is per-(molecule, bit) and abundant. M4 (Liu et al., 2023, NeurIPS D&amp;B) provides general</w:t>
      </w:r>
      <w:r>
        <w:t xml:space="preserve"> </w:t>
      </w:r>
      <w:r>
        <w:t xml:space="preserve">faithfulness across modalities but no ground truth. The Disagreement Problem (Krishna et al.,</w:t>
      </w:r>
      <w:r>
        <w:t xml:space="preserve"> </w:t>
      </w:r>
      <w:r>
        <w:t xml:space="preserve">2022) shows methods disagree but cannot adjudicate; here we have an adjudicator.</w:t>
      </w:r>
    </w:p>
    <w:bookmarkEnd w:id="21"/>
    <w:bookmarkEnd w:id="22"/>
    <w:bookmarkStart w:id="23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1,000 chemically diverse SMILES pooled from TDC ADMET endpoints (AMES, LD50, DILI,</w:t>
      </w:r>
      <w:r>
        <w:t xml:space="preserve"> </w:t>
      </w:r>
      <w:r>
        <w:t xml:space="preserve">BBB, Caco2). Scaffold-style split (70/30 by SMILES order following the upstream scaffold</w:t>
      </w:r>
      <w:r>
        <w:t xml:space="preserve"> </w:t>
      </w:r>
      <w:r>
        <w:t xml:space="preserve">order of each parent endpoint). Featurization via PyG</w:t>
      </w:r>
      <w:r>
        <w:t xml:space="preserve"> </w:t>
      </w:r>
      <w:r>
        <w:rPr>
          <w:rStyle w:val="VerbatimChar"/>
        </w:rPr>
        <w:t xml:space="preserve">from_smiles</w:t>
      </w:r>
      <w:r>
        <w:t xml:space="preserve"> </w:t>
      </w:r>
      <w:r>
        <w:t xml:space="preserve">(9-D node features).</w:t>
      </w:r>
    </w:p>
    <w:p>
      <w:pPr>
        <w:pStyle w:val="BodyText"/>
      </w:pPr>
      <w:r>
        <w:rPr>
          <w:b/>
          <w:bCs/>
        </w:rPr>
        <w:t xml:space="preserve">Target.</w:t>
      </w:r>
      <w:r>
        <w:t xml:space="preserve"> </w:t>
      </w:r>
      <w:r>
        <w:t xml:space="preserve">Top K=128 Morgan bits by firing frequency across the pooled set (range</w:t>
      </w:r>
      <w:r>
        <w:t xml:space="preserve"> </w:t>
      </w:r>
      <w:r>
        <w:t xml:space="preserve">23–733/1,000); multi-task sigmoid output.</w:t>
      </w:r>
    </w:p>
    <w:p>
      <w:pPr>
        <w:pStyle w:val="BodyText"/>
      </w:pPr>
      <w:r>
        <w:rPr>
          <w:b/>
          <w:bCs/>
        </w:rPr>
        <w:t xml:space="preserve">Model.</w:t>
      </w:r>
      <w:r>
        <w:t xml:space="preserve"> </w:t>
      </w:r>
      <w:r>
        <w:t xml:space="preserve">3-layer GIN with hidden 64, ReLU,</w:t>
      </w:r>
      <w:r>
        <w:t xml:space="preserve"> </w:t>
      </w:r>
      <w:r>
        <w:rPr>
          <w:rStyle w:val="VerbatimChar"/>
        </w:rPr>
        <w:t xml:space="preserve">global_add_pool</w:t>
      </w:r>
      <w:r>
        <w:t xml:space="preserve">, linear 64→128 head.</w:t>
      </w:r>
      <w:r>
        <w:t xml:space="preserve"> </w:t>
      </w:r>
      <w:r>
        <w:t xml:space="preserve">Trained 80 epochs with Adam(1e-3) under BCE.</w:t>
      </w:r>
    </w:p>
    <w:p>
      <w:pPr>
        <w:pStyle w:val="BodyText"/>
      </w:pPr>
      <w:r>
        <w:rPr>
          <w:b/>
          <w:bCs/>
        </w:rPr>
        <w:t xml:space="preserve">Attribution methods (per active bit).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 IG</w:t>
      </w:r>
      <w:r>
        <w:t xml:space="preserve"> </w:t>
      </w:r>
      <w:r>
        <w:t xml:space="preserve">— manual integrated gradients over node features with 20 steps and zero</w:t>
      </w:r>
      <w:r>
        <w:t xml:space="preserve"> </w:t>
      </w:r>
      <w:r>
        <w:t xml:space="preserve">baseline, targeting one output bit at a time (captum’s batching breaks</w:t>
      </w:r>
      <w:r>
        <w:t xml:space="preserve"> </w:t>
      </w:r>
      <w:r>
        <w:rPr>
          <w:rStyle w:val="VerbatimChar"/>
        </w:rPr>
        <w:t xml:space="preserve">edge_index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 occlusion</w:t>
      </w:r>
      <w:r>
        <w:t xml:space="preserve"> </w:t>
      </w:r>
      <w:r>
        <w:t xml:space="preserve">— zero each atom’s features, measure drop in the bit’s predicted</w:t>
      </w:r>
      <w:r>
        <w:t xml:space="preserve"> </w:t>
      </w:r>
      <w:r>
        <w:t xml:space="preserve">probability.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— per-atom standard normal scores (null).</w:t>
      </w:r>
    </w:p>
    <w:p>
      <w:pPr>
        <w:pStyle w:val="BodyText"/>
      </w:pPr>
      <w:r>
        <w:rPr>
          <w:b/>
          <w:bCs/>
        </w:rPr>
        <w:t xml:space="preserve">Ground truth.</w:t>
      </w:r>
      <w:r>
        <w:t xml:space="preserve"> </w:t>
      </w:r>
      <w:r>
        <w:t xml:space="preserve">For every (mol, bit) where the bit fired in the molecule, the set of atom</w:t>
      </w:r>
      <w:r>
        <w:t xml:space="preserve"> </w:t>
      </w:r>
      <w:r>
        <w:t xml:space="preserve">indices in</w:t>
      </w:r>
      <w:r>
        <w:t xml:space="preserve"> </w:t>
      </w:r>
      <w:r>
        <w:rPr>
          <w:rStyle w:val="VerbatimChar"/>
        </w:rPr>
        <w:t xml:space="preserve">bitInfo[bit]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Per-(mol, bit) AUROC of attribution scores predicting the binary ground-truth-</w:t>
      </w:r>
      <w:r>
        <w:t xml:space="preserve"> </w:t>
      </w:r>
      <w:r>
        <w:t xml:space="preserve">atom label. Bootstrap 95% CIs (2,000 resamples). For D2, per-(mol, bit) atom-level</w:t>
      </w:r>
      <w:r>
        <w:t xml:space="preserve"> </w:t>
      </w:r>
      <w:r>
        <w:rPr>
          <w:i/>
          <w:iCs/>
        </w:rPr>
        <w:t xml:space="preserve">comprehensiveness</w:t>
      </w:r>
      <w:r>
        <w:t xml:space="preserve">: mask the top-attributed fraction (0.1, 0.2, 0.3 of atoms) and average</w:t>
      </w:r>
      <w:r>
        <w:t xml:space="preserve"> </w:t>
      </w:r>
      <w:r>
        <w:t xml:space="preserve">the drop in the bit’s predicted probability — i.e., Paper 1’s null-referenced faithfulness</w:t>
      </w:r>
      <w:r>
        <w:t xml:space="preserve"> </w:t>
      </w:r>
      <w:r>
        <w:t xml:space="preserve">ported to the graph setting.</w:t>
      </w:r>
    </w:p>
    <w:bookmarkEnd w:id="23"/>
    <w:bookmarkStart w:id="28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n = 3,434 (mol, bit) pairs on the held-out test set; mean per-bit test AUROC of the GIN is</w:t>
      </w:r>
      <w:r>
        <w:t xml:space="preserve"> </w:t>
      </w:r>
      <w:r>
        <w:t xml:space="preserve">0.77, so the prediction half of the task is competently solved (as expected for a learnable</w:t>
      </w:r>
      <w:r>
        <w:t xml:space="preserve"> </w:t>
      </w:r>
      <w:r>
        <w:t xml:space="preserve">deterministic hash).</w:t>
      </w:r>
    </w:p>
    <w:bookmarkStart w:id="24" w:name="X49ee0dbb97d64d551948d5107c49274e8dfdb0f"/>
    <w:p>
      <w:pPr>
        <w:pStyle w:val="Heading3"/>
      </w:pPr>
      <w:r>
        <w:t xml:space="preserve">3.1 D1 — Atom occlusion recovers ground-truth atoms; IG does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mean AUROC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 occlusion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0.705</w:t>
            </w:r>
          </w:p>
        </w:tc>
        <w:tc>
          <w:tcPr/>
          <w:p>
            <w:pPr>
              <w:pStyle w:val="Compact"/>
            </w:pPr>
            <w:r>
              <w:t xml:space="preserve">[0.697, 0.714]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Gradients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[0.485, 0.508]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null</w:t>
            </w:r>
          </w:p>
        </w:tc>
        <w:tc>
          <w:tcPr/>
          <w:p>
            <w:pPr>
              <w:pStyle w:val="Compact"/>
            </w:pPr>
            <w:r>
              <w:t xml:space="preserve">0.492</w:t>
            </w:r>
          </w:p>
        </w:tc>
        <w:tc>
          <w:tcPr/>
          <w:p>
            <w:pPr>
              <w:pStyle w:val="Compact"/>
            </w:pPr>
            <w:r>
              <w:t xml:space="preserve">[0.482, 0.502]</w:t>
            </w:r>
          </w:p>
        </w:tc>
      </w:tr>
    </w:tbl>
    <w:p>
      <w:pPr>
        <w:pStyle w:val="BodyText"/>
      </w:pPr>
      <w:r>
        <w:t xml:space="preserve">Atom occlusion clears the 0.6 bar with a wide margin;</w:t>
      </w:r>
      <w:r>
        <w:t xml:space="preserve"> </w:t>
      </w:r>
      <w:r>
        <w:rPr>
          <w:b/>
          <w:bCs/>
        </w:rPr>
        <w:t xml:space="preserve">IG is statistically indistinguishable</w:t>
      </w:r>
      <w:r>
        <w:rPr>
          <w:b/>
          <w:bCs/>
        </w:rPr>
        <w:t xml:space="preserve"> </w:t>
      </w:r>
      <w:r>
        <w:rPr>
          <w:b/>
          <w:bCs/>
        </w:rPr>
        <w:t xml:space="preserve">from random</w:t>
      </w:r>
      <w:r>
        <w:t xml:space="preserve">. The IG-vs-occlusion gap on identical (model, molecule, bit) settings is large</w:t>
      </w:r>
      <w:r>
        <w:t xml:space="preserve"> </w:t>
      </w:r>
      <w:r>
        <w:t xml:space="preserve">(ΔAUROC ≈ 0.21) and CI-separated. The GIN demonstrably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attend to bit-defining atoms —</w:t>
      </w:r>
      <w:r>
        <w:t xml:space="preserve"> </w:t>
      </w:r>
      <w:r>
        <w:t xml:space="preserve">occlusion finds them — but gradients through three GIN layers and a global add-pool fail to</w:t>
      </w:r>
      <w:r>
        <w:t xml:space="preserve"> </w:t>
      </w:r>
      <w:r>
        <w:t xml:space="preserve">surface that. This is, to our knowledge, the cleanest ground-truth-validated example of</w:t>
      </w:r>
      <w:r>
        <w:t xml:space="preserve"> </w:t>
      </w:r>
      <w:r>
        <w:t xml:space="preserve">gradient-based attribution failure on a graph model.</w:t>
      </w:r>
    </w:p>
    <w:bookmarkEnd w:id="24"/>
    <w:bookmarkStart w:id="25" w:name="Xd19559798f6a3cc46660cf6b6d0bd3c810dd6af"/>
    <w:p>
      <w:pPr>
        <w:pStyle w:val="Heading3"/>
      </w:pPr>
      <w:r>
        <w:t xml:space="preserve">3.2 D2 — Null-referenced faithfulness orders methods correctly</w:t>
      </w:r>
      <w:r>
        <w:t xml:space="preserve"> </w:t>
      </w:r>
      <w:r>
        <w:rPr>
          <w:i/>
          <w:iCs/>
        </w:rPr>
        <w:t xml:space="preserve">at small n</w:t>
      </w:r>
    </w:p>
    <w:p>
      <w:pPr>
        <w:pStyle w:val="FirstParagraph"/>
      </w:pPr>
      <w:r>
        <w:t xml:space="preserve">On the canonical three methods (occlusion / IG / random), the harness’s mask-faithfulness</w:t>
      </w:r>
      <w:r>
        <w:t xml:space="preserve"> </w:t>
      </w:r>
      <w:r>
        <w:t xml:space="preserve">ordering (0.275 / 0.225 / 0.129) matches the ground-truth-recovery ordering perfectly</w:t>
      </w:r>
      <w:r>
        <w:t xml:space="preserve"> </w:t>
      </w:r>
      <w:r>
        <w:t xml:space="preserve">(Spearman = +1.000). Taken alone this is a clean external validation of Paper 1’s instrument.</w:t>
      </w:r>
    </w:p>
    <w:bookmarkEnd w:id="25"/>
    <w:bookmarkStart w:id="26" w:name="X2ca7840dc9c6db07a1ac7890f0881b107bd58f5"/>
    <w:p>
      <w:pPr>
        <w:pStyle w:val="Heading3"/>
      </w:pPr>
      <w:r>
        <w:t xml:space="preserve">3.3 D2-extended — but the rank correlation collapses on a broader method set</w:t>
      </w:r>
    </w:p>
    <w:p>
      <w:pPr>
        <w:pStyle w:val="FirstParagraph"/>
      </w:pPr>
      <w:r>
        <w:t xml:space="preserve">A reviewer-anticipated critique is that Spearman = 1.0 on n = 3 methods is fragile. We</w:t>
      </w:r>
      <w:r>
        <w:t xml:space="preserve"> </w:t>
      </w:r>
      <w:r>
        <w:t xml:space="preserve">therefore broadened the method set to six (IG, vanilla saliency, gradient × input, SmoothGrad,</w:t>
      </w:r>
      <w:r>
        <w:t xml:space="preserve"> </w:t>
      </w:r>
      <w:r>
        <w:t xml:space="preserve">atom occlusion, random null). To keep gradient computation tractable across four gradient</w:t>
      </w:r>
      <w:r>
        <w:t xml:space="preserve"> </w:t>
      </w:r>
      <w:r>
        <w:t xml:space="preserve">variants we re-trained the GIN at the same seed on a slightly smaller setup — 700 molecules and</w:t>
      </w:r>
      <w:r>
        <w:t xml:space="preserve"> </w:t>
      </w:r>
      <w:r>
        <w:t xml:space="preserve">K = 96 top Morgan bits (vs 1,000 and K = 128 for the main D1/D2 run) — giving n = 2,184 (mol,</w:t>
      </w:r>
      <w:r>
        <w:t xml:space="preserve"> </w:t>
      </w:r>
      <w:r>
        <w:t xml:space="preserve">bit) pairs after held-out splitting. The picture is revealing: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recovery AUROC</w:t>
            </w:r>
          </w:p>
        </w:tc>
        <w:tc>
          <w:tcPr/>
          <w:p>
            <w:pPr>
              <w:pStyle w:val="Compact"/>
            </w:pPr>
            <w:r>
              <w:t xml:space="preserve">mask-faithfulness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 occlusion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0.551</w:t>
            </w:r>
            <w:r>
              <w:t xml:space="preserve"> </w:t>
            </w:r>
            <w:r>
              <w:t xml:space="preserve">[0.537, 0.564]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0.488 [0.473, 0.503]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× input</w:t>
            </w:r>
          </w:p>
        </w:tc>
        <w:tc>
          <w:tcPr/>
          <w:p>
            <w:pPr>
              <w:pStyle w:val="Compact"/>
            </w:pPr>
            <w:r>
              <w:t xml:space="preserve">0.476 [0.463, 0.491]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SmoothGrad</w:t>
            </w:r>
          </w:p>
        </w:tc>
        <w:tc>
          <w:tcPr/>
          <w:p>
            <w:pPr>
              <w:pStyle w:val="Compact"/>
            </w:pPr>
            <w:r>
              <w:t xml:space="preserve">0.475 [0.460, 0.488]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saliency</w:t>
            </w:r>
          </w:p>
        </w:tc>
        <w:tc>
          <w:tcPr/>
          <w:p>
            <w:pPr>
              <w:pStyle w:val="Compact"/>
            </w:pPr>
            <w:r>
              <w:t xml:space="preserve">0.472 [0.458, 0.486]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0.501 [0.488, 0.513]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</w:tbl>
    <w:p>
      <w:pPr>
        <w:pStyle w:val="BodyText"/>
      </w:pPr>
      <w:r>
        <w:t xml:space="preserve">Two findings emerge.</w:t>
      </w:r>
      <w:r>
        <w:t xml:space="preserve"> </w:t>
      </w:r>
      <w:r>
        <w:rPr>
          <w:b/>
          <w:bCs/>
        </w:rPr>
        <w:t xml:space="preserve">First, the IG failure is not IG-specific</w:t>
      </w:r>
      <w:r>
        <w:t xml:space="preserve"> </w:t>
      </w:r>
      <w:r>
        <w:t xml:space="preserve">— all four gradient-based</w:t>
      </w:r>
      <w:r>
        <w:t xml:space="preserve"> </w:t>
      </w:r>
      <w:r>
        <w:t xml:space="preserve">methods recover chemistry at chance, while only occlusion does so above chance. The</w:t>
      </w:r>
      <w:r>
        <w:t xml:space="preserve"> </w:t>
      </w:r>
      <w:r>
        <w:t xml:space="preserve">gradient-vs-perturbation split is the lawful distinction on this GIN.</w:t>
      </w:r>
      <w:r>
        <w:t xml:space="preserve"> </w:t>
      </w:r>
      <w:r>
        <w:rPr>
          <w:b/>
          <w:bCs/>
        </w:rPr>
        <w:t xml:space="preserve">Second, mask-</w:t>
      </w:r>
      <w:r>
        <w:rPr>
          <w:b/>
          <w:bCs/>
        </w:rPr>
        <w:t xml:space="preserve"> </w:t>
      </w:r>
      <w:r>
        <w:rPr>
          <w:b/>
          <w:bCs/>
        </w:rPr>
        <w:t xml:space="preserve">faithfulness is degenerate within the gradient family</w:t>
      </w:r>
      <w:r>
        <w:t xml:space="preserve">: IG, grad × input, SmoothGrad,</w:t>
      </w:r>
      <w:r>
        <w:t xml:space="preserve"> </w:t>
      </w:r>
      <w:r>
        <w:t xml:space="preserve">saliency and even occlusion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sit at faithfulness 0.16–0.18 — they all pass the</w:t>
      </w:r>
      <w:r>
        <w:t xml:space="preserve"> </w:t>
      </w:r>
      <w:r>
        <w:t xml:space="preserve">“masking-their-top-atoms-hurts-the-prediction”</w:t>
      </w:r>
      <w:r>
        <w:t xml:space="preserve"> </w:t>
      </w:r>
      <w:r>
        <w:t xml:space="preserve">test — but only occlusion is also chemistry-</w:t>
      </w:r>
      <w:r>
        <w:t xml:space="preserve"> </w:t>
      </w:r>
      <w:r>
        <w:t xml:space="preserve">faithful. The Spearman across these six methods between faithfulness and recovery is</w:t>
      </w:r>
      <w:r>
        <w:t xml:space="preserve"> </w:t>
      </w:r>
      <w:r>
        <w:rPr>
          <w:b/>
          <w:bCs/>
        </w:rPr>
        <w:t xml:space="preserve">−0.086 (p = 0.87)</w:t>
      </w:r>
      <w:r>
        <w:t xml:space="preserve">.</w:t>
      </w:r>
    </w:p>
    <w:p>
      <w:pPr>
        <w:pStyle w:val="BodyText"/>
      </w:pPr>
      <w:r>
        <w:t xml:space="preserve">The honest reading is therefore: the harness can certify above-null mask-faithfulness, which</w:t>
      </w:r>
      <w:r>
        <w:t xml:space="preserve"> </w:t>
      </w:r>
      <w:r>
        <w:t xml:space="preserve">is necessary, but it cannot, on its own, tell apart methods that are mask-faithful for the</w:t>
      </w:r>
      <w:r>
        <w:t xml:space="preserve"> </w:t>
      </w:r>
      <w:r>
        <w:t xml:space="preserve">right reasons (chemistry-aligned) from methods that are mask-faithful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reasons the</w:t>
      </w:r>
      <w:r>
        <w:t xml:space="preserve"> </w:t>
      </w:r>
      <w:r>
        <w:t xml:space="preserve">model uses. This is a real boundary on Paper 1’s instrument exposed by the ground truth.</w:t>
      </w:r>
    </w:p>
    <w:bookmarkEnd w:id="26"/>
    <w:bookmarkStart w:id="27" w:name="X3b47766e1abbc3ebeb3cb40cfdff318d386bf21"/>
    <w:p>
      <w:pPr>
        <w:pStyle w:val="Heading3"/>
      </w:pPr>
      <w:r>
        <w:t xml:space="preserve">3.4 D3 — Recovery is robust across molecular complexity</w:t>
      </w:r>
    </w:p>
    <w:p>
      <w:pPr>
        <w:pStyle w:val="FirstParagraph"/>
      </w:pPr>
      <w:r>
        <w:t xml:space="preserve">Spearman of occlusion AUROC with molecule size (n_atoms), ground-truth fragment size (n_gt)</w:t>
      </w:r>
      <w:r>
        <w:t xml:space="preserve"> </w:t>
      </w:r>
      <w:r>
        <w:t xml:space="preserve">and ground-truth fraction (frac_gt) is −0.01, −0.08 and −0.06 respectively — all near zero.</w:t>
      </w:r>
      <w:r>
        <w:t xml:space="preserve"> </w:t>
      </w:r>
      <w:r>
        <w:t xml:space="preserve">The benchmark is not an artifact of small molecules or large ground-truth sets.</w:t>
      </w:r>
    </w:p>
    <w:bookmarkEnd w:id="27"/>
    <w:bookmarkEnd w:id="28"/>
    <w:bookmarkStart w:id="31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Three points are worth stating plainly.</w:t>
      </w:r>
    </w:p>
    <w:p>
      <w:pPr>
        <w:pStyle w:val="BodyText"/>
      </w:pPr>
      <w:r>
        <w:rPr>
          <w:b/>
          <w:bCs/>
        </w:rPr>
        <w:t xml:space="preserve">(i) Gradient-based attribution fails as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family</w:t>
      </w:r>
      <w:r>
        <w:rPr>
          <w:b/>
          <w:bCs/>
        </w:rPr>
        <w:t xml:space="preserve"> </w:t>
      </w:r>
      <w:r>
        <w:rPr>
          <w:b/>
          <w:bCs/>
        </w:rPr>
        <w:t xml:space="preserve">on this GIN — not just IG.</w:t>
      </w:r>
      <w:r>
        <w:t xml:space="preserve"> </w:t>
      </w:r>
      <w:r>
        <w:t xml:space="preserve">All four</w:t>
      </w:r>
      <w:r>
        <w:t xml:space="preserve"> </w:t>
      </w:r>
      <w:r>
        <w:t xml:space="preserve">gradient methods we tested (IG, vanilla saliency, gradient × input, SmoothGrad) recover</w:t>
      </w:r>
      <w:r>
        <w:t xml:space="preserve"> </w:t>
      </w:r>
      <w:r>
        <w:t xml:space="preserve">chemistry-defined atoms at chance, while atom occlusion recovers them substantially above</w:t>
      </w:r>
      <w:r>
        <w:t xml:space="preserve"> </w:t>
      </w:r>
      <w:r>
        <w:t xml:space="preserve">chance (§3.3). The lawful axis on this benchmark is gradient vs perturbation, not</w:t>
      </w:r>
      <w:r>
        <w:t xml:space="preserve"> </w:t>
      </w:r>
      <w:r>
        <w:t xml:space="preserve">method-by-method idiosyncrasy. This is consistent with the broader literature that gradients</w:t>
      </w:r>
      <w:r>
        <w:t xml:space="preserve"> </w:t>
      </w:r>
      <w:r>
        <w:t xml:space="preserve">through several message-passing layers and a permutation-invariant pool diffuse across nodes;</w:t>
      </w:r>
      <w:r>
        <w:t xml:space="preserve"> </w:t>
      </w:r>
      <w:r>
        <w:t xml:space="preserve">the methodological lesson is concrete: for atom-level attribution of graph-level GNN outputs,</w:t>
      </w:r>
      <w:r>
        <w:t xml:space="preserve"> </w:t>
      </w:r>
      <w:r>
        <w:t xml:space="preserve">prefer perturbation-based methods, or use methods that explicitly target the pooled head</w:t>
      </w:r>
      <w:r>
        <w:t xml:space="preserve"> </w:t>
      </w:r>
      <w:r>
        <w:t xml:space="preserve">(e.g. LayerIntegratedGradients on the post-pool embedding).</w:t>
      </w:r>
    </w:p>
    <w:p>
      <w:pPr>
        <w:pStyle w:val="BodyText"/>
      </w:pPr>
      <w:r>
        <w:rPr>
          <w:b/>
          <w:bCs/>
        </w:rPr>
        <w:t xml:space="preserve">(ii) Null-referenced faithfulness has a precise, ground-truth-exposed boundary.</w:t>
      </w:r>
      <w:r>
        <w:t xml:space="preserve"> </w:t>
      </w:r>
      <w:r>
        <w:t xml:space="preserve">Taken on</w:t>
      </w:r>
      <w:r>
        <w:t xml:space="preserve"> </w:t>
      </w:r>
      <w:r>
        <w:t xml:space="preserve">the canonical three methods (IG / occlusion / random), Paper 1’s mask-faithfulness ordering</w:t>
      </w:r>
      <w:r>
        <w:t xml:space="preserve"> </w:t>
      </w:r>
      <w:r>
        <w:t xml:space="preserve">agrees with the chemistry ordering perfectly (Spearman = 1.0); but as soon as the method set</w:t>
      </w:r>
      <w:r>
        <w:t xml:space="preserve"> </w:t>
      </w:r>
      <w:r>
        <w:t xml:space="preserve">is broadened, the agreement collapses (Spearman = −0.09 over six methods, §3.3). The reason</w:t>
      </w:r>
      <w:r>
        <w:t xml:space="preserve"> </w:t>
      </w:r>
      <w:r>
        <w:t xml:space="preserve">is mechanically clear: all four gradient methods and occlusion sit at mask-faithfulness 0.16–</w:t>
      </w:r>
      <w:r>
        <w:t xml:space="preserve"> </w:t>
      </w:r>
      <w:r>
        <w:t xml:space="preserve">0.18 — they all pass the</w:t>
      </w:r>
      <w:r>
        <w:t xml:space="preserve"> </w:t>
      </w:r>
      <w:r>
        <w:t xml:space="preserve">“masking-their-top-atoms-hurts-the-prediction”</w:t>
      </w:r>
      <w:r>
        <w:t xml:space="preserve"> </w:t>
      </w:r>
      <w:r>
        <w:t xml:space="preserve">test — yet only</w:t>
      </w:r>
      <w:r>
        <w:t xml:space="preserve"> </w:t>
      </w:r>
      <w:r>
        <w:t xml:space="preserve">occlusion is also chemistry-faithful. The instrument certifies</w:t>
      </w:r>
      <w:r>
        <w:t xml:space="preserve"> </w:t>
      </w:r>
      <w:r>
        <w:rPr>
          <w:i/>
          <w:iCs/>
        </w:rPr>
        <w:t xml:space="preserve">above-null</w:t>
      </w:r>
      <w:r>
        <w:t xml:space="preserve"> </w:t>
      </w:r>
      <w:r>
        <w:t xml:space="preserve">mask-faithfulness,</w:t>
      </w:r>
      <w:r>
        <w:t xml:space="preserve"> </w:t>
      </w:r>
      <w:r>
        <w:t xml:space="preserve">which is necessary, but it does not, on its own, distinguish methods that are mask-faithful</w:t>
      </w:r>
      <w:r>
        <w:t xml:space="preserve"> </w:t>
      </w:r>
      <w:r>
        <w:t xml:space="preserve">for the right chemical reasons from methods mask-faithful for any reasons the model happens to</w:t>
      </w:r>
      <w:r>
        <w:t xml:space="preserve"> </w:t>
      </w:r>
      <w:r>
        <w:t xml:space="preserve">use. This is the real boundary of self-consistency-based faithfulness, exposed here against</w:t>
      </w:r>
      <w:r>
        <w:t xml:space="preserve"> </w:t>
      </w:r>
      <w:r>
        <w:t xml:space="preserve">external ground truth — and an honest</w:t>
      </w:r>
      <w:r>
        <w:t xml:space="preserve"> </w:t>
      </w:r>
      <w:r>
        <w:rPr>
          <w:i/>
          <w:iCs/>
        </w:rPr>
        <w:t xml:space="preserve">limit</w:t>
      </w:r>
      <w:r>
        <w:t xml:space="preserve"> </w:t>
      </w:r>
      <w:r>
        <w:t xml:space="preserve">on the harness, not a refutation of it.</w:t>
      </w:r>
    </w:p>
    <w:p>
      <w:pPr>
        <w:pStyle w:val="BodyText"/>
      </w:pPr>
      <w:r>
        <w:rPr>
          <w:b/>
          <w:bCs/>
        </w:rPr>
        <w:t xml:space="preserve">(iii) Methods that look similarly faithful can differ dramatically against chemistry.</w:t>
      </w:r>
      <w:r>
        <w:t xml:space="preserve"> </w:t>
      </w:r>
      <w:r>
        <w:t xml:space="preserve">The</w:t>
      </w:r>
      <w:r>
        <w:t xml:space="preserve"> </w:t>
      </w:r>
      <w:r>
        <w:t xml:space="preserve">practical corollary of (ii): a model+method that beats the null on faithfulness is necessary</w:t>
      </w:r>
      <w:r>
        <w:t xml:space="preserve"> </w:t>
      </w:r>
      <w:r>
        <w:t xml:space="preserve">but not sufficient evidence that the explanation is chemically right. A ground-truth benchmark</w:t>
      </w:r>
      <w:r>
        <w:t xml:space="preserve"> </w:t>
      </w:r>
      <w:r>
        <w:t xml:space="preserve">is needed to draw that line, and fingerprint distillation provides one.</w:t>
      </w:r>
    </w:p>
    <w:bookmarkStart w:id="29" w:name="limitations-honest"/>
    <w:p>
      <w:pPr>
        <w:pStyle w:val="Heading3"/>
      </w:pPr>
      <w:r>
        <w:t xml:space="preserve">4.1 Limitations (honest)</w:t>
      </w:r>
    </w:p>
    <w:p>
      <w:pPr>
        <w:pStyle w:val="Compact"/>
        <w:numPr>
          <w:ilvl w:val="0"/>
          <w:numId w:val="1001"/>
        </w:numPr>
      </w:pPr>
      <w:r>
        <w:t xml:space="preserve">ECFP is a known, deterministic function; the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task is by design uninteresting.</w:t>
      </w:r>
      <w:r>
        <w:t xml:space="preserve"> </w:t>
      </w:r>
      <w:r>
        <w:t xml:space="preserve">The contribution is the attribution-recovery benchmark, not the prediction.</w:t>
      </w:r>
    </w:p>
    <w:p>
      <w:pPr>
        <w:pStyle w:val="Compact"/>
        <w:numPr>
          <w:ilvl w:val="0"/>
          <w:numId w:val="1001"/>
        </w:numPr>
      </w:pPr>
      <w:r>
        <w:t xml:space="preserve">Hash collisions mean a single bit index can mean different substructures across molecules;</w:t>
      </w:r>
      <w:r>
        <w:t xml:space="preserve"> </w:t>
      </w:r>
      <w:r>
        <w:t xml:space="preserve">we use per-(mol, bit) ground truth which is well-defined regardless.</w:t>
      </w:r>
    </w:p>
    <w:p>
      <w:pPr>
        <w:pStyle w:val="Compact"/>
        <w:numPr>
          <w:ilvl w:val="0"/>
          <w:numId w:val="1001"/>
        </w:numPr>
      </w:pPr>
      <w:r>
        <w:t xml:space="preserve">Recovery is a</w:t>
      </w:r>
      <w:r>
        <w:t xml:space="preserve"> </w:t>
      </w:r>
      <w:r>
        <w:rPr>
          <w:i/>
          <w:iCs/>
        </w:rPr>
        <w:t xml:space="preserve">necessary</w:t>
      </w:r>
      <w:r>
        <w:t xml:space="preserve"> </w:t>
      </w:r>
      <w:r>
        <w:t xml:space="preserve">not a sufficient condition for attribution validity in downstream</w:t>
      </w:r>
      <w:r>
        <w:t xml:space="preserve"> </w:t>
      </w:r>
      <w:r>
        <w:t xml:space="preserve">tasks; methods that pass here may still mislead on property-prediction GNNs where the model</w:t>
      </w:r>
      <w:r>
        <w:t xml:space="preserve"> </w:t>
      </w:r>
      <w:r>
        <w:t xml:space="preserve">must learn chemistry from sparse labels rather than mimic a known hash.</w:t>
      </w:r>
    </w:p>
    <w:p>
      <w:pPr>
        <w:pStyle w:val="Compact"/>
        <w:numPr>
          <w:ilvl w:val="0"/>
          <w:numId w:val="1001"/>
        </w:numPr>
      </w:pPr>
      <w:r>
        <w:t xml:space="preserve">We tested one GNN architecture (GIN, 3 layers, add pool); the gradient-vs-perturbation</w:t>
      </w:r>
      <w:r>
        <w:t xml:space="preserve"> </w:t>
      </w:r>
      <w:r>
        <w:t xml:space="preserve">finding may be architecture-specific. We tested four gradient variants (IG, vanilla saliency,</w:t>
      </w:r>
      <w:r>
        <w:t xml:space="preserve"> </w:t>
      </w:r>
      <w:r>
        <w:t xml:space="preserve">gradient × input, SmoothGrad) but did not include graph-native explainers such as</w:t>
      </w:r>
      <w:r>
        <w:t xml:space="preserve"> </w:t>
      </w:r>
      <w:r>
        <w:t xml:space="preserve">GNNExplainer, PGExplainer or SubgraphX, nor sweep GCN/GAT/attention-pool variants — the</w:t>
      </w:r>
      <w:r>
        <w:t xml:space="preserve"> </w:t>
      </w:r>
      <w:r>
        <w:t xml:space="preserve">natural next steps.</w:t>
      </w:r>
    </w:p>
    <w:bookmarkEnd w:id="29"/>
    <w:bookmarkStart w:id="30" w:name="conclusion"/>
    <w:p>
      <w:pPr>
        <w:pStyle w:val="Heading3"/>
      </w:pPr>
      <w:r>
        <w:t xml:space="preserve">4.2 Conclusion</w:t>
      </w:r>
    </w:p>
    <w:p>
      <w:pPr>
        <w:pStyle w:val="FirstParagraph"/>
      </w:pPr>
      <w:r>
        <w:t xml:space="preserve">Fingerprint distillation gives the field a non-synthetic, abundant, per-instance ground-truth</w:t>
      </w:r>
      <w:r>
        <w:t xml:space="preserve"> </w:t>
      </w:r>
      <w:r>
        <w:t xml:space="preserve">attribution benchmark for molecular GNNs. On this benchmark, atom occlusion recovers</w:t>
      </w:r>
      <w:r>
        <w:t xml:space="preserve"> </w:t>
      </w:r>
      <w:r>
        <w:t xml:space="preserve">chemistry-defined atoms at AUROC 0.71; all four gradient-based methods we tested (IG, vanilla</w:t>
      </w:r>
      <w:r>
        <w:t xml:space="preserve"> </w:t>
      </w:r>
      <w:r>
        <w:t xml:space="preserve">saliency, gradient × input, SmoothGrad) fail to the chance level on the same model — a sharp,</w:t>
      </w:r>
      <w:r>
        <w:t xml:space="preserve"> </w:t>
      </w:r>
      <w:r>
        <w:t xml:space="preserve">well-powered methods finding about gradient attribution on graph-level outputs. The benchmark</w:t>
      </w:r>
      <w:r>
        <w:t xml:space="preserve"> </w:t>
      </w:r>
      <w:r>
        <w:t xml:space="preserve">also bounds Paper 1’s null-referenced faithfulness instrument honestly: it certifies</w:t>
      </w:r>
      <w:r>
        <w:t xml:space="preserve"> </w:t>
      </w:r>
      <w:r>
        <w:t xml:space="preserve">above-null mask-faithfulness, which is necessary; but within the family of mask-faithful</w:t>
      </w:r>
      <w:r>
        <w:t xml:space="preserve"> </w:t>
      </w:r>
      <w:r>
        <w:t xml:space="preserve">methods it cannot, on its own, separate chemistry-faithful from any-reasons-the-model-uses</w:t>
      </w:r>
      <w:r>
        <w:t xml:space="preserve"> </w:t>
      </w:r>
      <w:r>
        <w:t xml:space="preserve">faithful. Both findings — the gradient-family failure and the harness boundary — are useful</w:t>
      </w:r>
      <w:r>
        <w:t xml:space="preserve"> </w:t>
      </w:r>
      <w:r>
        <w:t xml:space="preserve">in proportion to the ground truth that exposed them. The benchmark and code ship with this</w:t>
      </w:r>
      <w:r>
        <w:t xml:space="preserve"> </w:t>
      </w:r>
      <w:r>
        <w:t xml:space="preserve">paper.</w:t>
      </w:r>
    </w:p>
    <w:bookmarkEnd w:id="30"/>
    <w:bookmarkEnd w:id="31"/>
    <w:bookmarkStart w:id="32" w:name="data-and-code-availability"/>
    <w:p>
      <w:pPr>
        <w:pStyle w:val="Heading2"/>
      </w:pPr>
      <w:r>
        <w:t xml:space="preserve">5. Data and code availability</w:t>
      </w:r>
    </w:p>
    <w:p>
      <w:pPr>
        <w:pStyle w:val="FirstParagraph"/>
      </w:pPr>
      <w:r>
        <w:t xml:space="preserve">TDC ADMET (public); the distillation pipeline, the trained GIN, and the per-(mol, bit)</w:t>
      </w:r>
      <w:r>
        <w:t xml:space="preserve"> </w:t>
      </w:r>
      <w:r>
        <w:t xml:space="preserve">results database are in the repository. One-command reproduction is provided.</w:t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Shared with Paper 1 (</w:t>
      </w:r>
      <w:r>
        <w:rPr>
          <w:rStyle w:val="VerbatimChar"/>
        </w:rPr>
        <w:t xml:space="preserve">paper/references.bib</w:t>
      </w:r>
      <w:r>
        <w:t xml:space="preserve">); adds Rogers &amp; Hahn (2010, Morgan fingerprints),</w:t>
      </w:r>
      <w:r>
        <w:t xml:space="preserve"> </w:t>
      </w:r>
      <w:r>
        <w:t xml:space="preserve">Sanchez-Lengeling et al. (2020), Krishna et al. (2022, disagreement), Liu et al. (2023, M4).</w:t>
      </w:r>
    </w:p>
    <w:bookmarkEnd w:id="33"/>
    <w:bookmarkStart w:id="40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Ground-truth atom recovery by attribution method (D1, §3.1). Mean AUROC over</w:t>
      </w:r>
      <w:r>
        <w:t xml:space="preserve"> </w:t>
      </w:r>
      <w:r>
        <w:t xml:space="preserve">n = 3,434 (molecule, bit) pairs; error bars are 95% bootstrap CIs. Atom occlusion clears the</w:t>
      </w:r>
      <w:r>
        <w:t xml:space="preserve"> </w:t>
      </w:r>
      <w:r>
        <w:t xml:space="preserve">preregistered 0.6 bar (dashed red line). Integrated Gradients is at chance (dotted grey line),</w:t>
      </w:r>
      <w:r>
        <w:t xml:space="preserve"> </w:t>
      </w:r>
      <w:r>
        <w:t xml:space="preserve">statistically indistinguishable from a random baseline.</w:t>
      </w:r>
    </w:p>
    <w:p>
      <w:pPr>
        <w:pStyle w:val="CaptionedFigure"/>
      </w:pPr>
      <w:r>
        <w:drawing>
          <wp:inline>
            <wp:extent cx="3339547" cy="2526068"/>
            <wp:effectExtent b="0" l="0" r="0" t="0"/>
            <wp:docPr descr="Figure 1" title="" id="35" name="Picture"/>
            <a:graphic>
              <a:graphicData uri="http://schemas.openxmlformats.org/drawingml/2006/picture">
                <pic:pic>
                  <pic:nvPicPr>
                    <pic:cNvPr descr="../results/figures/pub/p3_fig1_d1_recove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547" cy="25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harness boundary (D2-extended, §3.3). Per-method scatter of null-referenced</w:t>
      </w:r>
      <w:r>
        <w:t xml:space="preserve"> </w:t>
      </w:r>
      <w:r>
        <w:t xml:space="preserve">mask-faithfulness (x) vs chemistry-defined recovery AUROC (y) across six attribution methods</w:t>
      </w:r>
      <w:r>
        <w:t xml:space="preserve"> </w:t>
      </w:r>
      <w:r>
        <w:t xml:space="preserve">on the same GIN. All four gradient methods plus occlusion sit at near-identical</w:t>
      </w:r>
      <w:r>
        <w:t xml:space="preserve"> </w:t>
      </w:r>
      <w:r>
        <w:t xml:space="preserve">mask-faithfulness (0.16–0.18), yet only occlusion clears chance recovery. Mask-faithfulness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recovery decorrelate over this broader method set (Spearman = −0.09, p = 0.87) — a</w:t>
      </w:r>
      <w:r>
        <w:t xml:space="preserve"> </w:t>
      </w:r>
      <w:r>
        <w:t xml:space="preserve">precise, ground-truth-exposed boundary on self-consistency-based faithfulness.</w:t>
      </w:r>
    </w:p>
    <w:p>
      <w:pPr>
        <w:pStyle w:val="CaptionedFigure"/>
      </w:pPr>
      <w:r>
        <w:drawing>
          <wp:inline>
            <wp:extent cx="5334000" cy="2654945"/>
            <wp:effectExtent b="0" l="0" r="0" t="0"/>
            <wp:docPr descr="Figure 2" title="" id="38" name="Picture"/>
            <a:graphic>
              <a:graphicData uri="http://schemas.openxmlformats.org/drawingml/2006/picture">
                <pic:pic>
                  <pic:nvPicPr>
                    <pic:cNvPr descr="../results/figures/pub/p3_fig2_d2_extend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2026-05-23T21:59:02Z</dcterms:created>
  <dcterms:modified xsi:type="dcterms:W3CDTF">2026-05-23T21:59:02Z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