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C84D00"/>
          <w:sz w:val="17"/>
          <w:szCs w:val="17"/>
        </w:rPr>
        <w:t xml:space="preserve">SECURITY ANALYSIS (BBAT35F97) · GROUP REPORT · DATA AS OF 13 OCT 2026</w:t>
      </w:r>
    </w:p>
    <w:p>
      <w:pPr>
        <w:spacing w:after="40" w:before="0"/>
      </w:pPr>
      <w:r>
        <w:rPr>
          <w:b/>
          <w:bCs/>
          <w:color w:val="1D2C62"/>
          <w:sz w:val="48"/>
          <w:szCs w:val="48"/>
        </w:rPr>
        <w:t xml:space="preserve">Pick, Price, Portfolio</w:t>
      </w:r>
    </w:p>
    <w:p>
      <w:pPr>
        <w:spacing w:after="80" w:before="0"/>
      </w:pPr>
      <w:r>
        <w:rPr>
          <w:color w:val="5A6590"/>
          <w:sz w:val="24"/>
          <w:szCs w:val="24"/>
        </w:rPr>
        <w:t xml:space="preserve">An AI-augmented security analysis of Hindustan Unilever, Sun Pharma and ICICI Bank, and the 15-year SIP we would build from them</w:t>
      </w:r>
    </w:p>
    <w:p>
      <w:pPr>
        <w:spacing w:after="160" w:before="0"/>
      </w:pPr>
      <w:r>
        <w:rPr>
          <w:b/>
          <w:bCs/>
          <w:sz w:val="17"/>
          <w:szCs w:val="17"/>
        </w:rPr>
        <w:t xml:space="preserve">Investor: </w:t>
      </w:r>
      <w:r>
        <w:rPr>
          <w:sz w:val="17"/>
          <w:szCs w:val="17"/>
        </w:rPr>
        <w:t xml:space="preserve">us, TAPMI BBA(H) Semester V students starting a ₹10,000 monthly SIP.  </w:t>
      </w:r>
      <w:r>
        <w:rPr>
          <w:b/>
          <w:bCs/>
          <w:sz w:val="17"/>
          <w:szCs w:val="17"/>
        </w:rPr>
        <w:t xml:space="preserve">Data: </w:t>
      </w:r>
      <w:r>
        <w:rPr>
          <w:sz w:val="17"/>
          <w:szCs w:val="17"/>
        </w:rPr>
        <w:t xml:space="preserve">Yahoo Finance, Screener, BSE filings, RBI, MOSPI, Damodaran, Google News; frozen on 13 Oct 2026.</w:t>
      </w:r>
    </w:p>
    <w:tbl>
      <w:tblPr>
        <w:tblW w:type="dxa" w:w="9412"/>
        <w:tblBorders>
          <w:top w:val="single" w:color="D9CBB0" w:sz="4"/>
          <w:left w:val="single" w:color="D9CBB0" w:sz="4"/>
          <w:bottom w:val="single" w:color="D9CBB0" w:sz="4"/>
          <w:right w:val="single" w:color="D9CBB0" w:sz="4"/>
          <w:insideH w:val="none" w:color="FFFFFF" w:sz="0"/>
          <w:insideV w:val="none" w:color="FFFFFF" w:sz="0"/>
        </w:tblBorders>
      </w:tblPr>
      <w:tblGrid>
        <w:gridCol w:w="9412"/>
      </w:tblGrid>
      <w:tr>
        <w:tc>
          <w:tcPr>
            <w:tcW w:type="dxa" w:w="9412"/>
            <w:shd w:fill="FFFAED" w:color="auto" w:val="clear"/>
            <w:tcMar>
              <w:top w:type="dxa" w:w="140"/>
              <w:left w:type="dxa" w:w="200"/>
              <w:bottom w:type="dxa" w:w="100"/>
              <w:right w:type="dxa" w:w="200"/>
            </w:tcMar>
          </w:tcPr>
          <w:p>
            <w:pPr>
              <w:spacing w:after="60" w:before="0"/>
            </w:pPr>
            <w:r>
              <w:rPr>
                <w:b/>
                <w:bCs/>
                <w:color w:val="C84D00"/>
              </w:rPr>
              <w:t xml:space="preserve">Our recommendation</w:t>
            </w:r>
          </w:p>
          <w:p>
            <w:pPr>
              <w:spacing w:after="40" w:before="0"/>
            </w:pPr>
            <w:r>
              <w:t xml:space="preserve">Own the three stocks as a satellite (HUL 31%, Sun Pharma 19%, ICICI Bank 50%) around a Nifty 50 index core, and buy them monthly rather than as a lump sum. All three trade above our blended intrinsic values (HUL −14%, Sun Pharma −30%, ICICI Bank −37%), so HUL is a </w:t>
            </w:r>
            <w:r>
              <w:rPr>
                <w:b/>
                <w:bCs/>
              </w:rPr>
              <w:t xml:space="preserve">Buy</w:t>
            </w:r>
            <w:r>
              <w:t xml:space="preserve"> and Sun Pharma and ICICI Bank are </w:t>
            </w:r>
            <w:r>
              <w:rPr>
                <w:b/>
                <w:bCs/>
              </w:rPr>
              <w:t xml:space="preserve">Holds</w:t>
            </w:r>
            <w:r>
              <w:t xml:space="preserve">. A Balanced investor (A = 4) puts 44% of savings into the three stocks and the rest into T-bills. A ₹10,000 SIP rising 10% a year has a median 15-year value of ₹64.8 lakh from ₹38.1 lakh invested.</w:t>
            </w:r>
          </w:p>
        </w:tc>
      </w:tr>
    </w:tbl>
    <w:p>
      <w:pPr>
        <w:spacing w:after="80"/>
      </w:pPr>
    </w:p>
    <w:p>
      <w:pPr>
        <w:pStyle w:val="Heading1"/>
        <w:keepNext/>
      </w:pPr>
      <w:r>
        <w:t xml:space="preserve">1. Company selection: three sectors, three different drivers</w:t>
      </w:r>
    </w:p>
    <w:p>
      <w:pPr>
        <w:spacing w:after="100" w:before="0"/>
      </w:pPr>
      <w:r>
        <w:t xml:space="preserve">We worked top-down (BKM Ch 17). India's real GDP grew 7.8% in Q1 FY27, led by investment (GFCF +11.9%) rather than household consumption (+7.1%); the repo rate is 5.25% and the 91-day T-bill 5.52% (MOSPI, RBI). We looked for stocks with (i) a different primary macro driver, (ii) a five-year daily-return correlation of 0.5 or less with each other, (iii) Nifty 50 liquidity and at least six quarters of call transcripts, and (iv) a business that a standard valuation model fits.</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1584"/>
        <w:gridCol w:w="2237"/>
        <w:gridCol w:w="3448"/>
        <w:gridCol w:w="652"/>
        <w:gridCol w:w="839"/>
        <w:gridCol w:w="652"/>
      </w:tblGrid>
      <w:tr>
        <w:trPr>
          <w:cantSplit/>
          <w:tblHeader/>
        </w:trPr>
        <w:tc>
          <w:tcPr>
            <w:tcW w:type="dxa" w:w="1584"/>
            <w:shd w:fill="1D2C62" w:color="auto" w:val="clear"/>
            <w:tcMar>
              <w:top w:type="dxa" w:w="50"/>
              <w:left w:type="dxa" w:w="90"/>
              <w:bottom w:type="dxa" w:w="50"/>
              <w:right w:type="dxa" w:w="90"/>
            </w:tcMar>
            <w:vAlign w:val="center"/>
          </w:tcPr>
          <w:p>
            <w:pPr>
              <w:keepNext/>
              <w:jc w:val="left"/>
            </w:pPr>
            <w:r>
              <w:rPr>
                <w:b/>
                <w:bCs/>
                <w:color w:val="FFFFFF"/>
                <w:sz w:val="17"/>
                <w:szCs w:val="17"/>
              </w:rPr>
              <w:t xml:space="preserve">Company</w:t>
            </w:r>
          </w:p>
        </w:tc>
        <w:tc>
          <w:tcPr>
            <w:tcW w:type="dxa" w:w="2237"/>
            <w:shd w:fill="1D2C62" w:color="auto" w:val="clear"/>
            <w:tcMar>
              <w:top w:type="dxa" w:w="50"/>
              <w:left w:type="dxa" w:w="90"/>
              <w:bottom w:type="dxa" w:w="50"/>
              <w:right w:type="dxa" w:w="90"/>
            </w:tcMar>
            <w:vAlign w:val="center"/>
          </w:tcPr>
          <w:p>
            <w:pPr>
              <w:keepNext/>
              <w:jc w:val="left"/>
            </w:pPr>
            <w:r>
              <w:rPr>
                <w:b/>
                <w:bCs/>
                <w:color w:val="FFFFFF"/>
                <w:sz w:val="17"/>
                <w:szCs w:val="17"/>
              </w:rPr>
              <w:t xml:space="preserve">Sector and main driver</w:t>
            </w:r>
          </w:p>
        </w:tc>
        <w:tc>
          <w:tcPr>
            <w:tcW w:type="dxa" w:w="3448"/>
            <w:shd w:fill="1D2C62" w:color="auto" w:val="clear"/>
            <w:tcMar>
              <w:top w:type="dxa" w:w="50"/>
              <w:left w:type="dxa" w:w="90"/>
              <w:bottom w:type="dxa" w:w="50"/>
              <w:right w:type="dxa" w:w="90"/>
            </w:tcMar>
            <w:vAlign w:val="center"/>
          </w:tcPr>
          <w:p>
            <w:pPr>
              <w:keepNext/>
              <w:jc w:val="left"/>
            </w:pPr>
            <w:r>
              <w:rPr>
                <w:b/>
                <w:bCs/>
                <w:color w:val="FFFFFF"/>
                <w:sz w:val="17"/>
                <w:szCs w:val="17"/>
              </w:rPr>
              <w:t xml:space="preserve">Role in the portfolio</w:t>
            </w:r>
          </w:p>
        </w:tc>
        <w:tc>
          <w:tcPr>
            <w:tcW w:type="dxa" w:w="652"/>
            <w:shd w:fill="1D2C62" w:color="auto" w:val="clear"/>
            <w:tcMar>
              <w:top w:type="dxa" w:w="50"/>
              <w:left w:type="dxa" w:w="90"/>
              <w:bottom w:type="dxa" w:w="50"/>
              <w:right w:type="dxa" w:w="90"/>
            </w:tcMar>
            <w:vAlign w:val="center"/>
          </w:tcPr>
          <w:p>
            <w:pPr>
              <w:keepNext/>
              <w:jc w:val="right"/>
            </w:pPr>
            <w:r>
              <w:rPr>
                <w:b/>
                <w:bCs/>
                <w:color w:val="FFFFFF"/>
                <w:sz w:val="17"/>
                <w:szCs w:val="17"/>
              </w:rPr>
              <w:t xml:space="preserve">Beta</w:t>
            </w:r>
          </w:p>
        </w:tc>
        <w:tc>
          <w:tcPr>
            <w:tcW w:type="dxa" w:w="839"/>
            <w:shd w:fill="1D2C62" w:color="auto" w:val="clear"/>
            <w:tcMar>
              <w:top w:type="dxa" w:w="50"/>
              <w:left w:type="dxa" w:w="90"/>
              <w:bottom w:type="dxa" w:w="50"/>
              <w:right w:type="dxa" w:w="90"/>
            </w:tcMar>
            <w:vAlign w:val="center"/>
          </w:tcPr>
          <w:p>
            <w:pPr>
              <w:keepNext/>
              <w:jc w:val="right"/>
            </w:pPr>
            <w:r>
              <w:rPr>
                <w:b/>
                <w:bCs/>
                <w:color w:val="FFFFFF"/>
                <w:sz w:val="17"/>
                <w:szCs w:val="17"/>
              </w:rPr>
              <w:t xml:space="preserve">CAGR 2016–26</w:t>
            </w:r>
          </w:p>
        </w:tc>
        <w:tc>
          <w:tcPr>
            <w:tcW w:type="dxa" w:w="652"/>
            <w:shd w:fill="1D2C62" w:color="auto" w:val="clear"/>
            <w:tcMar>
              <w:top w:type="dxa" w:w="50"/>
              <w:left w:type="dxa" w:w="90"/>
              <w:bottom w:type="dxa" w:w="50"/>
              <w:right w:type="dxa" w:w="90"/>
            </w:tcMar>
            <w:vAlign w:val="center"/>
          </w:tcPr>
          <w:p>
            <w:pPr>
              <w:keepNext/>
              <w:jc w:val="right"/>
            </w:pPr>
            <w:r>
              <w:rPr>
                <w:b/>
                <w:bCs/>
                <w:color w:val="FFFFFF"/>
                <w:sz w:val="17"/>
                <w:szCs w:val="17"/>
              </w:rPr>
              <w:t xml:space="preserve">Sharpe</w:t>
            </w:r>
          </w:p>
        </w:tc>
      </w:tr>
      <w:tr>
        <w:trPr>
          <w:cantSplit/>
        </w:trPr>
        <w:tc>
          <w:tcPr>
            <w:tcW w:type="dxa" w:w="1584"/>
            <w:shd w:fill="FFFFFF" w:color="auto" w:val="clear"/>
            <w:tcMar>
              <w:top w:type="dxa" w:w="50"/>
              <w:left w:type="dxa" w:w="90"/>
              <w:bottom w:type="dxa" w:w="50"/>
              <w:right w:type="dxa" w:w="90"/>
            </w:tcMar>
            <w:vAlign w:val="center"/>
          </w:tcPr>
          <w:p>
            <w:pPr>
              <w:keepNext/>
              <w:jc w:val="left"/>
            </w:pPr>
            <w:r>
              <w:rPr>
                <w:b/>
                <w:bCs/>
                <w:color w:val="1D2C62"/>
                <w:sz w:val="17"/>
                <w:szCs w:val="17"/>
              </w:rPr>
              <w:t xml:space="preserve">Hindustan Unilever</w:t>
            </w:r>
          </w:p>
        </w:tc>
        <w:tc>
          <w:tcPr>
            <w:tcW w:type="dxa" w:w="2237"/>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FMCG: consumption, input costs</w:t>
            </w:r>
          </w:p>
        </w:tc>
        <w:tc>
          <w:tcPr>
            <w:tcW w:type="dxa" w:w="3448"/>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Defensive anchor: lowest beta, in the weakest sector (FMCG 10.6% below its 200-day average)</w:t>
            </w:r>
          </w:p>
        </w:tc>
        <w:tc>
          <w:tcPr>
            <w:tcW w:type="dxa" w:w="652"/>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0.60</w:t>
            </w:r>
          </w:p>
        </w:tc>
        <w:tc>
          <w:tcPr>
            <w:tcW w:type="dxa" w:w="83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9.6%</w:t>
            </w:r>
          </w:p>
        </w:tc>
        <w:tc>
          <w:tcPr>
            <w:tcW w:type="dxa" w:w="652"/>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0.28</w:t>
            </w:r>
          </w:p>
        </w:tc>
      </w:tr>
      <w:tr>
        <w:trPr>
          <w:cantSplit/>
        </w:trPr>
        <w:tc>
          <w:tcPr>
            <w:tcW w:type="dxa" w:w="1584"/>
            <w:shd w:fill="F7F1E3" w:color="auto" w:val="clear"/>
            <w:tcMar>
              <w:top w:type="dxa" w:w="50"/>
              <w:left w:type="dxa" w:w="90"/>
              <w:bottom w:type="dxa" w:w="50"/>
              <w:right w:type="dxa" w:w="90"/>
            </w:tcMar>
            <w:vAlign w:val="center"/>
          </w:tcPr>
          <w:p>
            <w:pPr>
              <w:keepNext/>
              <w:jc w:val="left"/>
            </w:pPr>
            <w:r>
              <w:rPr>
                <w:b/>
                <w:bCs/>
                <w:color w:val="1D2C62"/>
                <w:sz w:val="17"/>
                <w:szCs w:val="17"/>
              </w:rPr>
              <w:t xml:space="preserve">Sun Pharma</w:t>
            </w:r>
          </w:p>
        </w:tc>
        <w:tc>
          <w:tcPr>
            <w:tcW w:type="dxa" w:w="2237"/>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Pharma: chronic therapy, US specialty, USD/INR</w:t>
            </w:r>
          </w:p>
        </w:tc>
        <w:tc>
          <w:tcPr>
            <w:tcW w:type="dxa" w:w="3448"/>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Defensive growth: demand ignores the cycle and US sales earn dollars</w:t>
            </w:r>
          </w:p>
        </w:tc>
        <w:tc>
          <w:tcPr>
            <w:tcW w:type="dxa" w:w="652"/>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0.65</w:t>
            </w:r>
          </w:p>
        </w:tc>
        <w:tc>
          <w:tcPr>
            <w:tcW w:type="dxa" w:w="83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8.7%</w:t>
            </w:r>
          </w:p>
        </w:tc>
        <w:tc>
          <w:tcPr>
            <w:tcW w:type="dxa" w:w="652"/>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0.24</w:t>
            </w:r>
          </w:p>
        </w:tc>
      </w:tr>
      <w:tr>
        <w:trPr>
          <w:cantSplit/>
        </w:trPr>
        <w:tc>
          <w:tcPr>
            <w:tcW w:type="dxa" w:w="1584"/>
            <w:shd w:fill="FFFFFF" w:color="auto" w:val="clear"/>
            <w:tcMar>
              <w:top w:type="dxa" w:w="50"/>
              <w:left w:type="dxa" w:w="90"/>
              <w:bottom w:type="dxa" w:w="50"/>
              <w:right w:type="dxa" w:w="90"/>
            </w:tcMar>
            <w:vAlign w:val="center"/>
          </w:tcPr>
          <w:p>
            <w:pPr>
              <w:keepNext/>
              <w:jc w:val="left"/>
            </w:pPr>
            <w:r>
              <w:rPr>
                <w:b/>
                <w:bCs/>
                <w:color w:val="1D2C62"/>
                <w:sz w:val="17"/>
                <w:szCs w:val="17"/>
              </w:rPr>
              <w:t xml:space="preserve">ICICI Bank</w:t>
            </w:r>
          </w:p>
        </w:tc>
        <w:tc>
          <w:tcPr>
            <w:tcW w:type="dxa" w:w="2237"/>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Private bank: credit growth, rates, asset quality</w:t>
            </w:r>
          </w:p>
        </w:tc>
        <w:tc>
          <w:tcPr>
            <w:tcW w:type="dxa" w:w="3448"/>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Growth engine of an investment-led cycle: loans +19.6% a year</w:t>
            </w:r>
          </w:p>
        </w:tc>
        <w:tc>
          <w:tcPr>
            <w:tcW w:type="dxa" w:w="652"/>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1.29</w:t>
            </w:r>
          </w:p>
        </w:tc>
        <w:tc>
          <w:tcPr>
            <w:tcW w:type="dxa" w:w="83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19.1%</w:t>
            </w:r>
          </w:p>
        </w:tc>
        <w:tc>
          <w:tcPr>
            <w:tcW w:type="dxa" w:w="652"/>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0.55</w:t>
            </w:r>
          </w:p>
        </w:tc>
      </w:tr>
      <w:tr>
        <w:trPr>
          <w:cantSplit/>
        </w:trPr>
        <w:tc>
          <w:tcPr>
            <w:tcW w:type="dxa" w:w="1584"/>
            <w:shd w:fill="F7F1E3" w:color="auto" w:val="clear"/>
            <w:tcMar>
              <w:top w:type="dxa" w:w="50"/>
              <w:left w:type="dxa" w:w="90"/>
              <w:bottom w:type="dxa" w:w="50"/>
              <w:right w:type="dxa" w:w="90"/>
            </w:tcMar>
            <w:vAlign w:val="center"/>
          </w:tcPr>
          <w:p>
            <w:pPr>
              <w:keepNext/>
              <w:jc w:val="left"/>
            </w:pPr>
            <w:r>
              <w:rPr>
                <w:b/>
                <w:bCs/>
                <w:color w:val="1D2C62"/>
                <w:sz w:val="17"/>
                <w:szCs w:val="17"/>
              </w:rPr>
              <w:t xml:space="preserve">Nifty 50 (est. TR)</w:t>
            </w:r>
          </w:p>
        </w:tc>
        <w:tc>
          <w:tcPr>
            <w:tcW w:type="dxa" w:w="2237"/>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Benchmark</w:t>
            </w:r>
          </w:p>
        </w:tc>
        <w:tc>
          <w:tcPr>
            <w:tcW w:type="dxa" w:w="3448"/>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Price index + 1.22% a year estimated dividends</w:t>
            </w:r>
          </w:p>
        </w:tc>
        <w:tc>
          <w:tcPr>
            <w:tcW w:type="dxa" w:w="652"/>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1.00</w:t>
            </w:r>
          </w:p>
        </w:tc>
        <w:tc>
          <w:tcPr>
            <w:tcW w:type="dxa" w:w="83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12.0%</w:t>
            </w:r>
          </w:p>
        </w:tc>
        <w:tc>
          <w:tcPr>
            <w:tcW w:type="dxa" w:w="652"/>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0.45</w:t>
            </w:r>
          </w:p>
        </w:tc>
      </w:tr>
    </w:tbl>
    <w:p>
      <w:pPr>
        <w:spacing w:after="120" w:before="0"/>
        <w:jc w:val="center"/>
      </w:pPr>
      <w:r>
        <w:rPr>
          <w:i/>
          <w:iCs/>
          <w:color w:val="5A6590"/>
          <w:sz w:val="16"/>
          <w:szCs w:val="16"/>
        </w:rPr>
        <w:t xml:space="preserve">Table 1. The three picks. Risk and return from daily data, 2016 to 13 Oct 2026.</w:t>
      </w:r>
    </w:p>
    <w:p>
      <w:pPr>
        <w:spacing w:after="100" w:before="0"/>
      </w:pPr>
      <w:r>
        <w:t xml:space="preserve">Pairwise correlations are 0.16–0.24 over 2016–2026 (0.15–0.20 over five years), so the three diversify each other. We rejected Media, the strongest sector (11.2% above its 200-day average): at A = 4 its certainty equivalents are −8% to −38%, below the T-bill, and buying it now would be recency bias. Infosys, our first choice, was replaced by Sun Pharma, which keeps the dollar hedge at a lower beta (0.65 vs 0.82); HDFC Bank's 2023 merger and ITC's 2025 demerger break their histories. </w:t>
      </w:r>
      <w:r>
        <w:rPr>
          <w:b/>
          <w:bCs/>
        </w:rPr>
        <w:t xml:space="preserve">Honesty note: </w:t>
      </w:r>
      <w:r>
        <w:t xml:space="preserve">we chose Sun Pharma partly after its strong run, which flatters our 2023–26 back-test (§4).</w:t>
      </w:r>
    </w:p>
    <w:p>
      <w:pPr>
        <w:pStyle w:val="Heading1"/>
        <w:keepNext/>
      </w:pPr>
      <w:r>
        <w:t xml:space="preserve">2. Traditional analysis: good companies at full prices</w:t>
      </w:r>
    </w:p>
    <w:p>
      <w:pPr>
        <w:spacing w:after="100" w:before="0"/>
      </w:pPr>
      <w:r>
        <w:t xml:space="preserve">The cost of equity is the CAPM required return, r = rf + β × ERP, with rf = 5.52% and Damodaran's India ERP of 7.08%. HUL pays out 67% of its profit, so we value it with a two-stage dividend discount model. Sun Pharma (payout 34%) and ICICI Bank, whose borrowings are raw material, use a two-stage residual-income model, equivalent to a justified P/B of (ROE − g) / (r − g). Peer multiples give a second view (P/E for HUL and Sun Pharma, ROE-adjusted P/B for ICICI), and the blended value averages the two. Every working is a live formula in valuation.xlsx, with r × g sensitivity grids.</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1202"/>
        <w:gridCol w:w="901"/>
        <w:gridCol w:w="701"/>
        <w:gridCol w:w="1001"/>
        <w:gridCol w:w="1001"/>
        <w:gridCol w:w="1001"/>
        <w:gridCol w:w="1101"/>
        <w:gridCol w:w="1001"/>
        <w:gridCol w:w="1503"/>
      </w:tblGrid>
      <w:tr>
        <w:trPr>
          <w:cantSplit/>
          <w:tblHeader/>
        </w:trPr>
        <w:tc>
          <w:tcPr>
            <w:tcW w:type="dxa" w:w="1202"/>
            <w:shd w:fill="1D2C62" w:color="auto" w:val="clear"/>
            <w:tcMar>
              <w:top w:type="dxa" w:w="50"/>
              <w:left w:type="dxa" w:w="90"/>
              <w:bottom w:type="dxa" w:w="50"/>
              <w:right w:type="dxa" w:w="90"/>
            </w:tcMar>
            <w:vAlign w:val="center"/>
          </w:tcPr>
          <w:p>
            <w:pPr>
              <w:keepNext/>
              <w:jc w:val="left"/>
            </w:pPr>
            <w:r>
              <w:rPr>
                <w:b/>
                <w:bCs/>
                <w:color w:val="FFFFFF"/>
                <w:sz w:val="17"/>
                <w:szCs w:val="17"/>
              </w:rPr>
              <w:t xml:space="preserve">Stock</w:t>
            </w:r>
          </w:p>
        </w:tc>
        <w:tc>
          <w:tcPr>
            <w:tcW w:type="dxa" w:w="90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Price</w:t>
            </w:r>
          </w:p>
        </w:tc>
        <w:tc>
          <w:tcPr>
            <w:tcW w:type="dxa" w:w="70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r</w:t>
            </w:r>
          </w:p>
        </w:tc>
        <w:tc>
          <w:tcPr>
            <w:tcW w:type="dxa" w:w="100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Model value</w:t>
            </w:r>
          </w:p>
        </w:tc>
        <w:tc>
          <w:tcPr>
            <w:tcW w:type="dxa" w:w="100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Peer value</w:t>
            </w:r>
          </w:p>
        </w:tc>
        <w:tc>
          <w:tcPr>
            <w:tcW w:type="dxa" w:w="100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Blended</w:t>
            </w:r>
          </w:p>
        </w:tc>
        <w:tc>
          <w:tcPr>
            <w:tcW w:type="dxa" w:w="110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Blended vs price</w:t>
            </w:r>
          </w:p>
        </w:tc>
        <w:tc>
          <w:tcPr>
            <w:tcW w:type="dxa" w:w="100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Implied growth</w:t>
            </w:r>
          </w:p>
        </w:tc>
        <w:tc>
          <w:tcPr>
            <w:tcW w:type="dxa" w:w="1503"/>
            <w:shd w:fill="1D2C62" w:color="auto" w:val="clear"/>
            <w:tcMar>
              <w:top w:type="dxa" w:w="50"/>
              <w:left w:type="dxa" w:w="90"/>
              <w:bottom w:type="dxa" w:w="50"/>
              <w:right w:type="dxa" w:w="90"/>
            </w:tcMar>
            <w:vAlign w:val="center"/>
          </w:tcPr>
          <w:p>
            <w:pPr>
              <w:keepNext/>
              <w:jc w:val="right"/>
            </w:pPr>
            <w:r>
              <w:rPr>
                <w:b/>
                <w:bCs/>
                <w:color w:val="FFFFFF"/>
                <w:sz w:val="17"/>
                <w:szCs w:val="17"/>
              </w:rPr>
              <w:t xml:space="preserve">Analyst target</w:t>
            </w:r>
          </w:p>
        </w:tc>
      </w:tr>
      <w:tr>
        <w:trPr>
          <w:cantSplit/>
        </w:trPr>
        <w:tc>
          <w:tcPr>
            <w:tcW w:type="dxa" w:w="1202"/>
            <w:shd w:fill="FFFFFF" w:color="auto" w:val="clear"/>
            <w:tcMar>
              <w:top w:type="dxa" w:w="50"/>
              <w:left w:type="dxa" w:w="90"/>
              <w:bottom w:type="dxa" w:w="50"/>
              <w:right w:type="dxa" w:w="90"/>
            </w:tcMar>
            <w:vAlign w:val="center"/>
          </w:tcPr>
          <w:p>
            <w:pPr>
              <w:keepNext/>
              <w:jc w:val="left"/>
            </w:pPr>
            <w:r>
              <w:rPr>
                <w:b/>
                <w:bCs/>
                <w:color w:val="1D2C62"/>
                <w:sz w:val="17"/>
                <w:szCs w:val="17"/>
              </w:rPr>
              <w:t xml:space="preserve">HUL</w:t>
            </w:r>
          </w:p>
        </w:tc>
        <w:tc>
          <w:tcPr>
            <w:tcW w:type="dxa" w:w="9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₹1,862</w:t>
            </w:r>
          </w:p>
        </w:tc>
        <w:tc>
          <w:tcPr>
            <w:tcW w:type="dxa" w:w="7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9.8%</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₹1,079</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₹2,105</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₹1,592</w:t>
            </w:r>
          </w:p>
        </w:tc>
        <w:tc>
          <w:tcPr>
            <w:tcW w:type="dxa" w:w="11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−14%</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7.4%</w:t>
            </w:r>
          </w:p>
        </w:tc>
        <w:tc>
          <w:tcPr>
            <w:tcW w:type="dxa" w:w="150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₹2,396 (+29%)</w:t>
            </w:r>
          </w:p>
        </w:tc>
      </w:tr>
      <w:tr>
        <w:trPr>
          <w:cantSplit/>
        </w:trPr>
        <w:tc>
          <w:tcPr>
            <w:tcW w:type="dxa" w:w="1202"/>
            <w:shd w:fill="F7F1E3" w:color="auto" w:val="clear"/>
            <w:tcMar>
              <w:top w:type="dxa" w:w="50"/>
              <w:left w:type="dxa" w:w="90"/>
              <w:bottom w:type="dxa" w:w="50"/>
              <w:right w:type="dxa" w:w="90"/>
            </w:tcMar>
            <w:vAlign w:val="center"/>
          </w:tcPr>
          <w:p>
            <w:pPr>
              <w:keepNext/>
              <w:jc w:val="left"/>
            </w:pPr>
            <w:r>
              <w:rPr>
                <w:b/>
                <w:bCs/>
                <w:color w:val="1D2C62"/>
                <w:sz w:val="17"/>
                <w:szCs w:val="17"/>
              </w:rPr>
              <w:t xml:space="preserve">Sun Pharma</w:t>
            </w:r>
          </w:p>
        </w:tc>
        <w:tc>
          <w:tcPr>
            <w:tcW w:type="dxa" w:w="90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₹1,760</w:t>
            </w:r>
          </w:p>
        </w:tc>
        <w:tc>
          <w:tcPr>
            <w:tcW w:type="dxa" w:w="70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10.1%</w:t>
            </w:r>
          </w:p>
        </w:tc>
        <w:tc>
          <w:tcPr>
            <w:tcW w:type="dxa" w:w="100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₹748</w:t>
            </w:r>
          </w:p>
        </w:tc>
        <w:tc>
          <w:tcPr>
            <w:tcW w:type="dxa" w:w="100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₹1,702</w:t>
            </w:r>
          </w:p>
        </w:tc>
        <w:tc>
          <w:tcPr>
            <w:tcW w:type="dxa" w:w="100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₹1,225</w:t>
            </w:r>
          </w:p>
        </w:tc>
        <w:tc>
          <w:tcPr>
            <w:tcW w:type="dxa" w:w="110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−30%</w:t>
            </w:r>
          </w:p>
        </w:tc>
        <w:tc>
          <w:tcPr>
            <w:tcW w:type="dxa" w:w="100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8.6%</w:t>
            </w:r>
          </w:p>
        </w:tc>
        <w:tc>
          <w:tcPr>
            <w:tcW w:type="dxa" w:w="1503"/>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₹2,174 (+24%)</w:t>
            </w:r>
          </w:p>
        </w:tc>
      </w:tr>
      <w:tr>
        <w:trPr>
          <w:cantSplit/>
        </w:trPr>
        <w:tc>
          <w:tcPr>
            <w:tcW w:type="dxa" w:w="1202"/>
            <w:shd w:fill="FFFFFF" w:color="auto" w:val="clear"/>
            <w:tcMar>
              <w:top w:type="dxa" w:w="50"/>
              <w:left w:type="dxa" w:w="90"/>
              <w:bottom w:type="dxa" w:w="50"/>
              <w:right w:type="dxa" w:w="90"/>
            </w:tcMar>
            <w:vAlign w:val="center"/>
          </w:tcPr>
          <w:p>
            <w:pPr>
              <w:keepNext/>
              <w:jc w:val="left"/>
            </w:pPr>
            <w:r>
              <w:rPr>
                <w:b/>
                <w:bCs/>
                <w:color w:val="1D2C62"/>
                <w:sz w:val="17"/>
                <w:szCs w:val="17"/>
              </w:rPr>
              <w:t xml:space="preserve">ICICI Bank</w:t>
            </w:r>
          </w:p>
        </w:tc>
        <w:tc>
          <w:tcPr>
            <w:tcW w:type="dxa" w:w="9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₹1,351</w:t>
            </w:r>
          </w:p>
        </w:tc>
        <w:tc>
          <w:tcPr>
            <w:tcW w:type="dxa" w:w="7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14.7%</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₹575</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₹1,139</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₹857</w:t>
            </w:r>
          </w:p>
        </w:tc>
        <w:tc>
          <w:tcPr>
            <w:tcW w:type="dxa" w:w="11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−37%</w:t>
            </w:r>
          </w:p>
        </w:tc>
        <w:tc>
          <w:tcPr>
            <w:tcW w:type="dxa" w:w="100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13.9%</w:t>
            </w:r>
          </w:p>
        </w:tc>
        <w:tc>
          <w:tcPr>
            <w:tcW w:type="dxa" w:w="150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₹1,747 (+29%)</w:t>
            </w:r>
          </w:p>
        </w:tc>
      </w:tr>
    </w:tbl>
    <w:p>
      <w:pPr>
        <w:spacing w:after="120" w:before="0"/>
        <w:jc w:val="center"/>
      </w:pPr>
      <w:r>
        <w:rPr>
          <w:i/>
          <w:iCs/>
          <w:color w:val="5A6590"/>
          <w:sz w:val="16"/>
          <w:szCs w:val="16"/>
        </w:rPr>
        <w:t xml:space="preserve">Table 2. Intrinsic value vs market price, 13 Oct 2026. Implied growth: the perpetual growth rate at which our model equals the price.</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1318"/>
        <w:gridCol w:w="753"/>
        <w:gridCol w:w="753"/>
        <w:gridCol w:w="847"/>
        <w:gridCol w:w="847"/>
        <w:gridCol w:w="753"/>
        <w:gridCol w:w="1035"/>
        <w:gridCol w:w="847"/>
        <w:gridCol w:w="1129"/>
        <w:gridCol w:w="1130"/>
      </w:tblGrid>
      <w:tr>
        <w:trPr>
          <w:cantSplit/>
          <w:tblHeader/>
        </w:trPr>
        <w:tc>
          <w:tcPr>
            <w:tcW w:type="dxa" w:w="1318"/>
            <w:shd w:fill="1D2C62" w:color="auto" w:val="clear"/>
            <w:tcMar>
              <w:top w:type="dxa" w:w="50"/>
              <w:left w:type="dxa" w:w="90"/>
              <w:bottom w:type="dxa" w:w="50"/>
              <w:right w:type="dxa" w:w="90"/>
            </w:tcMar>
            <w:vAlign w:val="center"/>
          </w:tcPr>
          <w:p>
            <w:pPr>
              <w:keepNext/>
              <w:jc w:val="left"/>
            </w:pPr>
            <w:r>
              <w:rPr>
                <w:b/>
                <w:bCs/>
                <w:color w:val="FFFFFF"/>
                <w:sz w:val="17"/>
                <w:szCs w:val="17"/>
              </w:rPr>
              <w:t xml:space="preserve">Stock</w:t>
            </w:r>
          </w:p>
        </w:tc>
        <w:tc>
          <w:tcPr>
            <w:tcW w:type="dxa" w:w="753"/>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P/E</w:t>
            </w:r>
          </w:p>
        </w:tc>
        <w:tc>
          <w:tcPr>
            <w:tcW w:type="dxa" w:w="753"/>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P/B</w:t>
            </w:r>
          </w:p>
        </w:tc>
        <w:tc>
          <w:tcPr>
            <w:tcW w:type="dxa" w:w="847"/>
            <w:shd w:fill="1D2C62" w:color="auto" w:val="clear"/>
            <w:tcMar>
              <w:top w:type="dxa" w:w="50"/>
              <w:left w:type="dxa" w:w="90"/>
              <w:bottom w:type="dxa" w:w="50"/>
              <w:right w:type="dxa" w:w="90"/>
            </w:tcMar>
            <w:vAlign w:val="center"/>
          </w:tcPr>
          <w:p>
            <w:pPr>
              <w:keepNext/>
              <w:jc w:val="right"/>
            </w:pPr>
            <w:r>
              <w:rPr>
                <w:b/>
                <w:bCs/>
                <w:color w:val="FFFFFF"/>
                <w:sz w:val="17"/>
                <w:szCs w:val="17"/>
              </w:rPr>
              <w:t xml:space="preserve">ROE</w:t>
            </w:r>
          </w:p>
        </w:tc>
        <w:tc>
          <w:tcPr>
            <w:tcW w:type="dxa" w:w="847"/>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Payout</w:t>
            </w:r>
          </w:p>
        </w:tc>
        <w:tc>
          <w:tcPr>
            <w:tcW w:type="dxa" w:w="753"/>
            <w:shd w:fill="1D2C62" w:color="auto" w:val="clear"/>
            <w:tcMar>
              <w:top w:type="dxa" w:w="50"/>
              <w:left w:type="dxa" w:w="90"/>
              <w:bottom w:type="dxa" w:w="50"/>
              <w:right w:type="dxa" w:w="90"/>
            </w:tcMar>
            <w:vAlign w:val="center"/>
          </w:tcPr>
          <w:p>
            <w:pPr>
              <w:keepNext/>
              <w:jc w:val="right"/>
            </w:pPr>
            <w:r>
              <w:rPr>
                <w:b/>
                <w:bCs/>
                <w:color w:val="FFFFFF"/>
                <w:sz w:val="17"/>
                <w:szCs w:val="17"/>
              </w:rPr>
              <w:t xml:space="preserve">Beta</w:t>
            </w:r>
          </w:p>
        </w:tc>
        <w:tc>
          <w:tcPr>
            <w:tcW w:type="dxa" w:w="1035"/>
            <w:shd w:fill="1D2C62" w:color="auto" w:val="clear"/>
            <w:tcMar>
              <w:top w:type="dxa" w:w="50"/>
              <w:left w:type="dxa" w:w="90"/>
              <w:bottom w:type="dxa" w:w="50"/>
              <w:right w:type="dxa" w:w="90"/>
            </w:tcMar>
            <w:vAlign w:val="center"/>
          </w:tcPr>
          <w:p>
            <w:pPr>
              <w:keepNext/>
              <w:jc w:val="right"/>
            </w:pPr>
            <w:r>
              <w:rPr>
                <w:b/>
                <w:bCs/>
                <w:color w:val="FFFFFF"/>
                <w:sz w:val="17"/>
                <w:szCs w:val="17"/>
              </w:rPr>
              <w:t xml:space="preserve">Jensen's α</w:t>
            </w:r>
          </w:p>
        </w:tc>
        <w:tc>
          <w:tcPr>
            <w:tcW w:type="dxa" w:w="847"/>
            <w:shd w:fill="1D2C62" w:color="auto" w:val="clear"/>
            <w:tcMar>
              <w:top w:type="dxa" w:w="50"/>
              <w:left w:type="dxa" w:w="90"/>
              <w:bottom w:type="dxa" w:w="50"/>
              <w:right w:type="dxa" w:w="90"/>
            </w:tcMar>
            <w:vAlign w:val="center"/>
          </w:tcPr>
          <w:p>
            <w:pPr>
              <w:keepNext/>
              <w:jc w:val="right"/>
            </w:pPr>
            <w:r>
              <w:rPr>
                <w:b/>
                <w:bCs/>
                <w:color w:val="FFFFFF"/>
                <w:sz w:val="17"/>
                <w:szCs w:val="17"/>
              </w:rPr>
              <w:t xml:space="preserve">Treynor</w:t>
            </w:r>
          </w:p>
        </w:tc>
        <w:tc>
          <w:tcPr>
            <w:tcW w:type="dxa" w:w="1129"/>
            <w:shd w:fill="1D2C62" w:color="auto" w:val="clear"/>
            <w:tcMar>
              <w:top w:type="dxa" w:w="50"/>
              <w:left w:type="dxa" w:w="90"/>
              <w:bottom w:type="dxa" w:w="50"/>
              <w:right w:type="dxa" w:w="90"/>
            </w:tcMar>
            <w:vAlign w:val="center"/>
          </w:tcPr>
          <w:p>
            <w:pPr>
              <w:keepNext/>
              <w:jc w:val="right"/>
            </w:pPr>
            <w:r>
              <w:rPr>
                <w:b/>
                <w:bCs/>
                <w:color w:val="FFFFFF"/>
                <w:sz w:val="17"/>
                <w:szCs w:val="17"/>
              </w:rPr>
              <w:t xml:space="preserve">Max drawdown</w:t>
            </w:r>
          </w:p>
        </w:tc>
        <w:tc>
          <w:tcPr>
            <w:tcW w:type="dxa" w:w="1130"/>
            <w:shd w:fill="1D2C62" w:color="auto" w:val="clear"/>
            <w:tcMar>
              <w:top w:type="dxa" w:w="50"/>
              <w:left w:type="dxa" w:w="90"/>
              <w:bottom w:type="dxa" w:w="50"/>
              <w:right w:type="dxa" w:w="90"/>
            </w:tcMar>
            <w:vAlign w:val="center"/>
          </w:tcPr>
          <w:p>
            <w:pPr>
              <w:keepNext/>
              <w:jc w:val="right"/>
            </w:pPr>
            <w:r>
              <w:rPr>
                <w:b/>
                <w:bCs/>
                <w:color w:val="FFFFFF"/>
                <w:sz w:val="17"/>
                <w:szCs w:val="17"/>
              </w:rPr>
              <w:t xml:space="preserve">Daily VaR 95%</w:t>
            </w:r>
          </w:p>
        </w:tc>
      </w:tr>
      <w:tr>
        <w:trPr>
          <w:cantSplit/>
        </w:trPr>
        <w:tc>
          <w:tcPr>
            <w:tcW w:type="dxa" w:w="1318"/>
            <w:shd w:fill="FFFFFF" w:color="auto" w:val="clear"/>
            <w:tcMar>
              <w:top w:type="dxa" w:w="50"/>
              <w:left w:type="dxa" w:w="90"/>
              <w:bottom w:type="dxa" w:w="50"/>
              <w:right w:type="dxa" w:w="90"/>
            </w:tcMar>
            <w:vAlign w:val="center"/>
          </w:tcPr>
          <w:p>
            <w:pPr>
              <w:keepNext/>
              <w:jc w:val="left"/>
            </w:pPr>
            <w:r>
              <w:rPr>
                <w:b/>
                <w:bCs/>
                <w:color w:val="1D2C62"/>
                <w:sz w:val="17"/>
                <w:szCs w:val="17"/>
              </w:rPr>
              <w:t xml:space="preserve">HUL</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39.1</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9.0</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21.9%*</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67%</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0.60</w:t>
            </w:r>
          </w:p>
        </w:tc>
        <w:tc>
          <w:tcPr>
            <w:tcW w:type="dxa" w:w="1035"/>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+1.8%</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10.2%</w:t>
            </w:r>
          </w:p>
        </w:tc>
        <w:tc>
          <w:tcPr>
            <w:tcW w:type="dxa" w:w="112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−36%</w:t>
            </w:r>
          </w:p>
        </w:tc>
        <w:tc>
          <w:tcPr>
            <w:tcW w:type="dxa" w:w="1130"/>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2.0%</w:t>
            </w:r>
          </w:p>
        </w:tc>
      </w:tr>
      <w:tr>
        <w:trPr>
          <w:cantSplit/>
        </w:trPr>
        <w:tc>
          <w:tcPr>
            <w:tcW w:type="dxa" w:w="1318"/>
            <w:shd w:fill="F7F1E3" w:color="auto" w:val="clear"/>
            <w:tcMar>
              <w:top w:type="dxa" w:w="50"/>
              <w:left w:type="dxa" w:w="90"/>
              <w:bottom w:type="dxa" w:w="50"/>
              <w:right w:type="dxa" w:w="90"/>
            </w:tcMar>
            <w:vAlign w:val="center"/>
          </w:tcPr>
          <w:p>
            <w:pPr>
              <w:keepNext/>
              <w:jc w:val="left"/>
            </w:pPr>
            <w:r>
              <w:rPr>
                <w:b/>
                <w:bCs/>
                <w:color w:val="1D2C62"/>
                <w:sz w:val="17"/>
                <w:szCs w:val="17"/>
              </w:rPr>
              <w:t xml:space="preserve">Sun Pharma</w:t>
            </w:r>
          </w:p>
        </w:tc>
        <w:tc>
          <w:tcPr>
            <w:tcW w:type="dxa" w:w="753"/>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33.4</w:t>
            </w:r>
          </w:p>
        </w:tc>
        <w:tc>
          <w:tcPr>
            <w:tcW w:type="dxa" w:w="753"/>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5.1</w:t>
            </w:r>
          </w:p>
        </w:tc>
        <w:tc>
          <w:tcPr>
            <w:tcW w:type="dxa" w:w="847"/>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13.7%</w:t>
            </w:r>
          </w:p>
        </w:tc>
        <w:tc>
          <w:tcPr>
            <w:tcW w:type="dxa" w:w="847"/>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34%</w:t>
            </w:r>
          </w:p>
        </w:tc>
        <w:tc>
          <w:tcPr>
            <w:tcW w:type="dxa" w:w="753"/>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0.65</w:t>
            </w:r>
          </w:p>
        </w:tc>
        <w:tc>
          <w:tcPr>
            <w:tcW w:type="dxa" w:w="1035"/>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+2.0%</w:t>
            </w:r>
          </w:p>
        </w:tc>
        <w:tc>
          <w:tcPr>
            <w:tcW w:type="dxa" w:w="847"/>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10.3%</w:t>
            </w:r>
          </w:p>
        </w:tc>
        <w:tc>
          <w:tcPr>
            <w:tcW w:type="dxa" w:w="112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−62%</w:t>
            </w:r>
          </w:p>
        </w:tc>
        <w:tc>
          <w:tcPr>
            <w:tcW w:type="dxa" w:w="1130"/>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2.5%</w:t>
            </w:r>
          </w:p>
        </w:tc>
      </w:tr>
      <w:tr>
        <w:trPr>
          <w:cantSplit/>
        </w:trPr>
        <w:tc>
          <w:tcPr>
            <w:tcW w:type="dxa" w:w="1318"/>
            <w:shd w:fill="FFFFFF" w:color="auto" w:val="clear"/>
            <w:tcMar>
              <w:top w:type="dxa" w:w="50"/>
              <w:left w:type="dxa" w:w="90"/>
              <w:bottom w:type="dxa" w:w="50"/>
              <w:right w:type="dxa" w:w="90"/>
            </w:tcMar>
            <w:vAlign w:val="center"/>
          </w:tcPr>
          <w:p>
            <w:pPr>
              <w:keepNext/>
              <w:jc w:val="left"/>
            </w:pPr>
            <w:r>
              <w:rPr>
                <w:b/>
                <w:bCs/>
                <w:color w:val="1D2C62"/>
                <w:sz w:val="17"/>
                <w:szCs w:val="17"/>
              </w:rPr>
              <w:t xml:space="preserve">ICICI Bank</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16.8</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2.7</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15.0%</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14%</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1.29</w:t>
            </w:r>
          </w:p>
        </w:tc>
        <w:tc>
          <w:tcPr>
            <w:tcW w:type="dxa" w:w="1035"/>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+7.1%</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12.8%</w:t>
            </w:r>
          </w:p>
        </w:tc>
        <w:tc>
          <w:tcPr>
            <w:tcW w:type="dxa" w:w="112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−48%</w:t>
            </w:r>
          </w:p>
        </w:tc>
        <w:tc>
          <w:tcPr>
            <w:tcW w:type="dxa" w:w="1130"/>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2.5%</w:t>
            </w:r>
          </w:p>
        </w:tc>
      </w:tr>
    </w:tbl>
    <w:p>
      <w:pPr>
        <w:spacing w:after="120" w:before="0"/>
        <w:jc w:val="center"/>
      </w:pPr>
      <w:r>
        <w:rPr>
          <w:i/>
          <w:iCs/>
          <w:color w:val="5A6590"/>
          <w:sz w:val="16"/>
          <w:szCs w:val="16"/>
        </w:rPr>
        <w:t xml:space="preserve">Table 3. Key ratios. FY26 fundamentals extracted from the annual reports (§3); market ratios 2016–2026. *HUL ROE excludes a one-off gain of about ₹3,900 Cr.</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4706"/>
        <w:gridCol w:w="4706"/>
      </w:tblGrid>
      <w:tr>
        <w:tc>
          <w:tcPr>
            <w:tcW w:type="dxa" w:w="4706"/>
            <w:tcMar>
              <w:right w:type="dxa" w:w="120"/>
            </w:tcMar>
          </w:tcPr>
          <w:p>
            <w:pPr>
              <w:keepNext/>
              <w:spacing w:after="40"/>
              <w:jc w:val="center"/>
            </w:pPr>
            <w:r>
              <w:drawing>
                <wp:inline distT="0" distB="0" distL="0" distR="0">
                  <wp:extent cx="2880360" cy="18434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80360" cy="1843430"/>
                          </a:xfrm>
                          <a:prstGeom prst="rect">
                            <a:avLst/>
                          </a:prstGeom>
                        </pic:spPr>
                      </pic:pic>
                    </a:graphicData>
                  </a:graphic>
                </wp:inline>
              </w:drawing>
            </w:r>
          </w:p>
          <w:p>
            <w:pPr>
              <w:spacing w:after="120" w:before="0"/>
              <w:jc w:val="center"/>
            </w:pPr>
            <w:r>
              <w:rPr>
                <w:i/>
                <w:iCs/>
                <w:color w:val="5A6590"/>
                <w:sz w:val="16"/>
                <w:szCs w:val="16"/>
              </w:rPr>
              <w:t xml:space="preserve">Figure 1. Ex-post Security Market Line, 2016–2026.</w:t>
            </w:r>
          </w:p>
        </w:tc>
        <w:tc>
          <w:tcPr>
            <w:tcW w:type="dxa" w:w="4706"/>
            <w:vAlign w:val="center"/>
          </w:tcPr>
          <w:p>
            <w:pPr>
              <w:spacing w:after="100" w:before="0"/>
            </w:pPr>
            <w:r>
              <w:t xml:space="preserve">Every price is above our blended value, but reversing the models shows why. The market implies perpetual growth of 7.4% (HUL), 8.6% (Sun Pharma), 13.9% (ICICI Bank). ICICI is growing loans 19.6% a year, so most of its gap is our 14.7% discount rate (β 1.29), not unrealistic growth. Analysts are more bullish, with mean targets 24%–29% above the price.</w:t>
            </w:r>
          </w:p>
          <w:p>
            <w:pPr>
              <w:spacing w:after="0" w:before="0"/>
            </w:pPr>
            <w:r>
              <w:t xml:space="preserve">On the SML (Figure 1), ICICI earned a Jensen's α of +7.1% a year above its CAPM return; HUL and Sun Pharma sit close to the line. Past alpha is not a forecast, which is why the portfolio uses forward-looking CAPM returns (§4).</w:t>
            </w:r>
          </w:p>
        </w:tc>
      </w:tr>
    </w:tbl>
    <w:p>
      <w:pPr>
        <w:pStyle w:val="Heading1"/>
        <w:keepNext/>
      </w:pPr>
      <w:r>
        <w:t xml:space="preserve">3. AI-augmented analysis: five tasks, each checked</w:t>
      </w:r>
    </w:p>
    <w:p>
      <w:pPr>
        <w:spacing w:after="100" w:before="0"/>
      </w:pPr>
      <w:r>
        <w:t xml:space="preserve">We used AI where it reads or labels text faster than we can, and checked each task against an independent benchmark. Numbers are computed in Python, never generated by a model. The prompts (P1–P5) and their outputs are saved in docs/ai_prompts.md and data/ai/.</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1600"/>
        <w:gridCol w:w="3106"/>
        <w:gridCol w:w="1600"/>
        <w:gridCol w:w="3106"/>
      </w:tblGrid>
      <w:tr>
        <w:trPr>
          <w:cantSplit/>
          <w:tblHeader/>
        </w:trPr>
        <w:tc>
          <w:tcPr>
            <w:tcW w:type="dxa" w:w="1600"/>
            <w:shd w:fill="1D2C62" w:color="auto" w:val="clear"/>
            <w:tcMar>
              <w:top w:type="dxa" w:w="50"/>
              <w:left w:type="dxa" w:w="90"/>
              <w:bottom w:type="dxa" w:w="50"/>
              <w:right w:type="dxa" w:w="90"/>
            </w:tcMar>
            <w:vAlign w:val="center"/>
          </w:tcPr>
          <w:p>
            <w:pPr>
              <w:keepNext/>
              <w:jc w:val="left"/>
            </w:pPr>
            <w:r>
              <w:rPr>
                <w:b/>
                <w:bCs/>
                <w:color w:val="FFFFFF"/>
                <w:sz w:val="17"/>
                <w:szCs w:val="17"/>
              </w:rPr>
              <w:t xml:space="preserve">Task (brief)</w:t>
            </w:r>
          </w:p>
        </w:tc>
        <w:tc>
          <w:tcPr>
            <w:tcW w:type="dxa" w:w="3106"/>
            <w:shd w:fill="1D2C62" w:color="auto" w:val="clear"/>
            <w:tcMar>
              <w:top w:type="dxa" w:w="50"/>
              <w:left w:type="dxa" w:w="90"/>
              <w:bottom w:type="dxa" w:w="50"/>
              <w:right w:type="dxa" w:w="90"/>
            </w:tcMar>
            <w:vAlign w:val="center"/>
          </w:tcPr>
          <w:p>
            <w:pPr>
              <w:keepNext/>
              <w:jc w:val="left"/>
            </w:pPr>
            <w:r>
              <w:rPr>
                <w:b/>
                <w:bCs/>
                <w:color w:val="FFFFFF"/>
                <w:sz w:val="17"/>
                <w:szCs w:val="17"/>
              </w:rPr>
              <w:t xml:space="preserve">What the AI did</w:t>
            </w:r>
          </w:p>
        </w:tc>
        <w:tc>
          <w:tcPr>
            <w:tcW w:type="dxa" w:w="1600"/>
            <w:shd w:fill="1D2C62" w:color="auto" w:val="clear"/>
            <w:tcMar>
              <w:top w:type="dxa" w:w="50"/>
              <w:left w:type="dxa" w:w="90"/>
              <w:bottom w:type="dxa" w:w="50"/>
              <w:right w:type="dxa" w:w="90"/>
            </w:tcMar>
            <w:vAlign w:val="center"/>
          </w:tcPr>
          <w:p>
            <w:pPr>
              <w:keepNext/>
              <w:jc w:val="left"/>
            </w:pPr>
            <w:r>
              <w:rPr>
                <w:b/>
                <w:bCs/>
                <w:color w:val="FFFFFF"/>
                <w:sz w:val="17"/>
                <w:szCs w:val="17"/>
              </w:rPr>
              <w:t xml:space="preserve">Checked against</w:t>
            </w:r>
          </w:p>
        </w:tc>
        <w:tc>
          <w:tcPr>
            <w:tcW w:type="dxa" w:w="3106"/>
            <w:shd w:fill="1D2C62" w:color="auto" w:val="clear"/>
            <w:tcMar>
              <w:top w:type="dxa" w:w="50"/>
              <w:left w:type="dxa" w:w="90"/>
              <w:bottom w:type="dxa" w:w="50"/>
              <w:right w:type="dxa" w:w="90"/>
            </w:tcMar>
            <w:vAlign w:val="center"/>
          </w:tcPr>
          <w:p>
            <w:pPr>
              <w:keepNext/>
              <w:jc w:val="left"/>
            </w:pPr>
            <w:r>
              <w:rPr>
                <w:b/>
                <w:bCs/>
                <w:color w:val="FFFFFF"/>
                <w:sz w:val="17"/>
                <w:szCs w:val="17"/>
              </w:rPr>
              <w:t xml:space="preserve">Result</w:t>
            </w:r>
          </w:p>
        </w:tc>
      </w:tr>
      <w:tr>
        <w:trPr>
          <w:cantSplit/>
        </w:trPr>
        <w:tc>
          <w:tcPr>
            <w:tcW w:type="dxa" w:w="16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Ratio extraction from PDFs</w:t>
            </w:r>
          </w:p>
        </w:tc>
        <w:tc>
          <w:tcPr>
            <w:tcW w:type="dxa" w:w="3106"/>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Claude read the FY26 annual reports and returned 47 line items as JSON, each with a page reference</w:t>
            </w:r>
          </w:p>
        </w:tc>
        <w:tc>
          <w:tcPr>
            <w:tcW w:type="dxa" w:w="1600"/>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Yahoo Finance and Screener</w:t>
            </w:r>
          </w:p>
        </w:tc>
        <w:tc>
          <w:tcPr>
            <w:tcW w:type="dxa" w:w="3106"/>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44 of 47 within 1%; 3 definition differences (e.g. Yahoo's bank cash includes money at call); 0 errors</w:t>
            </w:r>
          </w:p>
        </w:tc>
      </w:tr>
      <w:tr>
        <w:trPr>
          <w:cantSplit/>
        </w:trPr>
        <w:tc>
          <w:tcPr>
            <w:tcW w:type="dxa" w:w="1600"/>
            <w:shd w:fill="F7F1E3" w:color="auto" w:val="clear"/>
            <w:tcMar>
              <w:top w:type="dxa" w:w="50"/>
              <w:left w:type="dxa" w:w="90"/>
              <w:bottom w:type="dxa" w:w="50"/>
              <w:right w:type="dxa" w:w="90"/>
            </w:tcMar>
            <w:vAlign w:val="center"/>
          </w:tcPr>
          <w:p>
            <w:pPr>
              <w:keepNext/>
              <w:jc w:val="left"/>
            </w:pPr>
            <w:r>
              <w:rPr>
                <w:b/>
                <w:bCs/>
                <w:color w:val="1D2C62"/>
                <w:sz w:val="17"/>
                <w:szCs w:val="17"/>
              </w:rPr>
              <w:t xml:space="preserve">Sentiment: calls and news</w:t>
            </w:r>
          </w:p>
        </w:tc>
        <w:tc>
          <w:tcPr>
            <w:tcW w:type="dxa" w:w="3106"/>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FinBERT scored 2,428 headlines (12 months) and 9,133 call sentences, split into management and analysts</w:t>
            </w:r>
          </w:p>
        </w:tc>
        <w:tc>
          <w:tcPr>
            <w:tcW w:type="dxa" w:w="1600"/>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Claude's call tone (P4): same sign on 3 of 3 latest calls</w:t>
            </w:r>
          </w:p>
        </w:tc>
        <w:tc>
          <w:tcPr>
            <w:tcW w:type="dxa" w:w="3106"/>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Management sounds more positive than analysts on every call: gap 0.28 (HUL), 0.08 (Sun Pharma), 0.14 (ICICI Bank)</w:t>
            </w:r>
          </w:p>
        </w:tc>
      </w:tr>
      <w:tr>
        <w:trPr>
          <w:cantSplit/>
        </w:trPr>
        <w:tc>
          <w:tcPr>
            <w:tcW w:type="dxa" w:w="16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Behavioural bias, news framing</w:t>
            </w:r>
          </w:p>
        </w:tc>
        <w:tc>
          <w:tcPr>
            <w:tcW w:type="dxa" w:w="3106"/>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Claude tagged 120 headlines for gain/loss framing, anchoring on targets, authority, herding, hype, fear and recency</w:t>
            </w:r>
          </w:p>
        </w:tc>
        <w:tc>
          <w:tcPr>
            <w:tcW w:type="dxa" w:w="1600"/>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FinBERT labels (70% agreement)</w:t>
            </w:r>
          </w:p>
        </w:tc>
        <w:tc>
          <w:tcPr>
            <w:tcW w:type="dxa" w:w="3106"/>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41% carry a bias cue, mostly authority and herding; 14% are not about the company; Sun Pharma coverage 60% gain-framed</w:t>
            </w:r>
          </w:p>
        </w:tc>
      </w:tr>
      <w:tr>
        <w:trPr>
          <w:cantSplit/>
        </w:trPr>
        <w:tc>
          <w:tcPr>
            <w:tcW w:type="dxa" w:w="1600"/>
            <w:shd w:fill="F7F1E3" w:color="auto" w:val="clear"/>
            <w:tcMar>
              <w:top w:type="dxa" w:w="50"/>
              <w:left w:type="dxa" w:w="90"/>
              <w:bottom w:type="dxa" w:w="50"/>
              <w:right w:type="dxa" w:w="90"/>
            </w:tcMar>
            <w:vAlign w:val="center"/>
          </w:tcPr>
          <w:p>
            <w:pPr>
              <w:keepNext/>
              <w:jc w:val="left"/>
            </w:pPr>
            <w:r>
              <w:rPr>
                <w:b/>
                <w:bCs/>
                <w:color w:val="1D2C62"/>
                <w:sz w:val="17"/>
                <w:szCs w:val="17"/>
              </w:rPr>
              <w:t xml:space="preserve">Forecasting; is TA possible?</w:t>
            </w:r>
          </w:p>
        </w:tc>
        <w:tc>
          <w:tcPr>
            <w:tcW w:type="dxa" w:w="3106"/>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50/200-day trend and RSI rules after 0.25% costs; earnings event study (CAR[−1,+1]); consensus EPS and targets</w:t>
            </w:r>
          </w:p>
        </w:tc>
        <w:tc>
          <w:tcPr>
            <w:tcW w:type="dxa" w:w="1600"/>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Buy-and-hold; earnings surprises</w:t>
            </w:r>
          </w:p>
        </w:tc>
        <w:tc>
          <w:tcPr>
            <w:tcW w:type="dxa" w:w="3106"/>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0 of 8 rules beat buy-and-hold on Sharpe; +1.2% after beats, −1.6% after misses (72 events)</w:t>
            </w:r>
          </w:p>
        </w:tc>
      </w:tr>
      <w:tr>
        <w:trPr>
          <w:cantSplit/>
        </w:trPr>
        <w:tc>
          <w:tcPr>
            <w:tcW w:type="dxa" w:w="16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Risk heatmaps</w:t>
            </w:r>
          </w:p>
        </w:tc>
        <w:tc>
          <w:tcPr>
            <w:tcW w:type="dxa" w:w="3106"/>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Correlation, 120-day rolling correlation, risk contribution, stress tests</w:t>
            </w:r>
          </w:p>
        </w:tc>
        <w:tc>
          <w:tcPr>
            <w:tcW w:type="dxa" w:w="1600"/>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Four sell-offs since 2020</w:t>
            </w:r>
          </w:p>
        </w:tc>
        <w:tc>
          <w:tcPr>
            <w:tcW w:type="dxa" w:w="3106"/>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ICICI supplies 57% of risk at 50% weight; P fell less than the Nifty in 4 of 4</w:t>
            </w:r>
          </w:p>
        </w:tc>
      </w:tr>
    </w:tbl>
    <w:p>
      <w:pPr>
        <w:spacing w:after="120" w:before="0"/>
        <w:jc w:val="center"/>
      </w:pPr>
      <w:r>
        <w:rPr>
          <w:i/>
          <w:iCs/>
          <w:color w:val="5A6590"/>
          <w:sz w:val="16"/>
          <w:szCs w:val="16"/>
        </w:rPr>
        <w:t xml:space="preserve">Table 4. The five AI tasks in the brief, with their checks.</w:t>
      </w:r>
    </w:p>
    <w:p>
      <w:pPr>
        <w:keepNext/>
        <w:spacing w:after="40"/>
        <w:jc w:val="center"/>
      </w:pPr>
      <w:r>
        <w:drawing>
          <wp:inline distT="0" distB="0" distL="0" distR="0">
            <wp:extent cx="5394960" cy="22536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4960" cy="2253622"/>
                    </a:xfrm>
                    <a:prstGeom prst="rect">
                      <a:avLst/>
                    </a:prstGeom>
                  </pic:spPr>
                </pic:pic>
              </a:graphicData>
            </a:graphic>
          </wp:inline>
        </w:drawing>
      </w:r>
    </w:p>
    <w:p>
      <w:pPr>
        <w:spacing w:after="120" w:before="0"/>
        <w:jc w:val="center"/>
      </w:pPr>
      <w:r>
        <w:rPr>
          <w:i/>
          <w:iCs/>
          <w:color w:val="5A6590"/>
          <w:sz w:val="16"/>
          <w:szCs w:val="16"/>
        </w:rPr>
        <w:t xml:space="preserve">Figure 2. FinBERT tone: headlines by month (left) and earnings calls, management vs analysts (right).</w:t>
      </w:r>
    </w:p>
    <w:p>
      <w:pPr>
        <w:spacing w:after="100" w:before="0"/>
      </w:pPr>
      <w:r>
        <w:rPr>
          <w:b/>
          <w:bCs/>
        </w:rPr>
        <w:t xml:space="preserve">What we learned. </w:t>
      </w:r>
      <w:r>
        <w:t xml:space="preserve">AI made it practical to read every page and headline, but two findings argue for scepticism. Managements talk up their results, so we discount call tone. Sun Pharma's coverage is 60% gain-framed and only 3% loss-framed, the one-sided optimism our valuation warns about. And technical analysis is not profitable here after costs: the rules cut drawdowns but lose return, consistent with weak-form efficiency, while prices absorb earnings news within days (semi-strong form).</w:t>
      </w:r>
    </w:p>
    <w:p>
      <w:pPr>
        <w:pStyle w:val="Heading1"/>
        <w:keepNext/>
      </w:pPr>
      <w:r>
        <w:t xml:space="preserve">4. Portfolio and the long-term plan</w:t>
      </w:r>
    </w:p>
    <w:p>
      <w:pPr>
        <w:spacing w:after="100" w:before="0"/>
      </w:pPr>
      <w:r>
        <w:t xml:space="preserve">We maximise the Sharpe ratio with 10–60% in each stock, using the 2016–26 covariance matrix. With historical mean returns, the optimiser pushes ICICI to the 60% cap (Sharpe 0.58), which is hindsight: weights fitted on 2016–22 earned 3.2% a year in 2023–26, against 7.4% for the Nifty. We therefore use forward-looking CAPM expected returns, which give P = HUL 31%, Sun Pharma 19%, ICICI 50%: E(r) 12.3%, σ 19.7%, Sharpe 0.34. Fitted the same way on 2016–22, they earned 7.9% a year out of sample.</w:t>
      </w:r>
    </w:p>
    <w:p>
      <w:pPr>
        <w:keepNext/>
        <w:spacing w:after="40"/>
        <w:jc w:val="center"/>
      </w:pPr>
      <w:r>
        <w:drawing>
          <wp:inline distT="0" distB="0" distL="0" distR="0">
            <wp:extent cx="5760720" cy="25661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566139"/>
                    </a:xfrm>
                    <a:prstGeom prst="rect">
                      <a:avLst/>
                    </a:prstGeom>
                  </pic:spPr>
                </pic:pic>
              </a:graphicData>
            </a:graphic>
          </wp:inline>
        </w:drawing>
      </w:r>
    </w:p>
    <w:p>
      <w:pPr>
        <w:spacing w:after="120" w:before="0"/>
        <w:jc w:val="center"/>
      </w:pPr>
      <w:r>
        <w:rPr>
          <w:i/>
          <w:iCs/>
          <w:color w:val="5A6590"/>
          <w:sz w:val="16"/>
          <w:szCs w:val="16"/>
        </w:rPr>
        <w:t xml:space="preserve">Figure 3. Efficient frontier, CAL (T-bills + P) and CML (T-bills + Nifty) under historical and forward-looking expected returns.</w:t>
      </w:r>
    </w:p>
    <w:p>
      <w:pPr>
        <w:spacing w:after="100" w:before="0"/>
      </w:pPr>
      <w:r>
        <w:t xml:space="preserve">P's Sharpe ratio (0.34) is below the market's (0.44): three stocks cannot match the index's diversification, so our CAL lies under the CML. That is why the long-term plan is core-satellite. Each investor's share in P is y* = (E[rP] − rf) / (AσP²), capped at 100% (no borrowing); the rest goes to T-bills.</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1129"/>
        <w:gridCol w:w="376"/>
        <w:gridCol w:w="753"/>
        <w:gridCol w:w="659"/>
        <w:gridCol w:w="659"/>
        <w:gridCol w:w="941"/>
        <w:gridCol w:w="1694"/>
        <w:gridCol w:w="1035"/>
        <w:gridCol w:w="1129"/>
        <w:gridCol w:w="1037"/>
      </w:tblGrid>
      <w:tr>
        <w:trPr>
          <w:cantSplit/>
          <w:tblHeader/>
        </w:trPr>
        <w:tc>
          <w:tcPr>
            <w:tcW w:type="dxa" w:w="1129"/>
            <w:shd w:fill="1D2C62" w:color="auto" w:val="clear"/>
            <w:tcMar>
              <w:top w:type="dxa" w:w="50"/>
              <w:left w:type="dxa" w:w="90"/>
              <w:bottom w:type="dxa" w:w="50"/>
              <w:right w:type="dxa" w:w="90"/>
            </w:tcMar>
            <w:vAlign w:val="center"/>
          </w:tcPr>
          <w:p>
            <w:pPr>
              <w:keepNext/>
              <w:jc w:val="left"/>
            </w:pPr>
            <w:r>
              <w:rPr>
                <w:b/>
                <w:bCs/>
                <w:color w:val="FFFFFF"/>
                <w:sz w:val="17"/>
                <w:szCs w:val="17"/>
              </w:rPr>
              <w:t xml:space="preserve">Profile</w:t>
            </w:r>
          </w:p>
        </w:tc>
        <w:tc>
          <w:tcPr>
            <w:tcW w:type="dxa" w:w="376"/>
            <w:shd w:fill="1D2C62" w:color="auto" w:val="clear"/>
            <w:tcMar>
              <w:top w:type="dxa" w:w="50"/>
              <w:left w:type="dxa" w:w="90"/>
              <w:bottom w:type="dxa" w:w="50"/>
              <w:right w:type="dxa" w:w="90"/>
            </w:tcMar>
            <w:vAlign w:val="center"/>
          </w:tcPr>
          <w:p>
            <w:pPr>
              <w:keepNext/>
              <w:jc w:val="right"/>
            </w:pPr>
            <w:r>
              <w:rPr>
                <w:b/>
                <w:bCs/>
                <w:color w:val="FFFFFF"/>
                <w:sz w:val="17"/>
                <w:szCs w:val="17"/>
              </w:rPr>
              <w:t xml:space="preserve">A</w:t>
            </w:r>
          </w:p>
        </w:tc>
        <w:tc>
          <w:tcPr>
            <w:tcW w:type="dxa" w:w="753"/>
            <w:shd w:fill="1D2C62" w:color="auto" w:val="clear"/>
            <w:tcMar>
              <w:top w:type="dxa" w:w="50"/>
              <w:left w:type="dxa" w:w="90"/>
              <w:bottom w:type="dxa" w:w="50"/>
              <w:right w:type="dxa" w:w="90"/>
            </w:tcMar>
            <w:vAlign w:val="center"/>
          </w:tcPr>
          <w:p>
            <w:pPr>
              <w:keepNext/>
              <w:jc w:val="right"/>
            </w:pPr>
            <w:r>
              <w:rPr>
                <w:b/>
                <w:bCs/>
                <w:color w:val="FFFFFF"/>
                <w:sz w:val="17"/>
                <w:szCs w:val="17"/>
              </w:rPr>
              <w:t xml:space="preserve">Share in P</w:t>
            </w:r>
          </w:p>
        </w:tc>
        <w:tc>
          <w:tcPr>
            <w:tcW w:type="dxa" w:w="659"/>
            <w:shd w:fill="1D2C62" w:color="auto" w:val="clear"/>
            <w:tcMar>
              <w:top w:type="dxa" w:w="50"/>
              <w:left w:type="dxa" w:w="90"/>
              <w:bottom w:type="dxa" w:w="50"/>
              <w:right w:type="dxa" w:w="90"/>
            </w:tcMar>
            <w:vAlign w:val="center"/>
          </w:tcPr>
          <w:p>
            <w:pPr>
              <w:keepNext/>
              <w:jc w:val="right"/>
            </w:pPr>
            <w:r>
              <w:rPr>
                <w:b/>
                <w:bCs/>
                <w:color w:val="FFFFFF"/>
                <w:sz w:val="17"/>
                <w:szCs w:val="17"/>
              </w:rPr>
              <w:t xml:space="preserve">E(rc)</w:t>
            </w:r>
          </w:p>
        </w:tc>
        <w:tc>
          <w:tcPr>
            <w:tcW w:type="dxa" w:w="659"/>
            <w:shd w:fill="1D2C62" w:color="auto" w:val="clear"/>
            <w:tcMar>
              <w:top w:type="dxa" w:w="50"/>
              <w:left w:type="dxa" w:w="90"/>
              <w:bottom w:type="dxa" w:w="50"/>
              <w:right w:type="dxa" w:w="90"/>
            </w:tcMar>
            <w:vAlign w:val="center"/>
          </w:tcPr>
          <w:p>
            <w:pPr>
              <w:keepNext/>
              <w:jc w:val="right"/>
            </w:pPr>
            <w:r>
              <w:rPr>
                <w:b/>
                <w:bCs/>
                <w:color w:val="FFFFFF"/>
                <w:sz w:val="17"/>
                <w:szCs w:val="17"/>
              </w:rPr>
              <w:t xml:space="preserve">σc</w:t>
            </w:r>
          </w:p>
        </w:tc>
        <w:tc>
          <w:tcPr>
            <w:tcW w:type="dxa" w:w="941"/>
            <w:shd w:fill="1D2C62" w:color="auto" w:val="clear"/>
            <w:tcMar>
              <w:top w:type="dxa" w:w="50"/>
              <w:left w:type="dxa" w:w="90"/>
              <w:bottom w:type="dxa" w:w="50"/>
              <w:right w:type="dxa" w:w="90"/>
            </w:tcMar>
            <w:vAlign w:val="center"/>
          </w:tcPr>
          <w:p>
            <w:pPr>
              <w:keepNext/>
              <w:jc w:val="right"/>
            </w:pPr>
            <w:r>
              <w:rPr>
                <w:b/>
                <w:bCs/>
                <w:color w:val="FFFFFF"/>
                <w:sz w:val="17"/>
                <w:szCs w:val="17"/>
              </w:rPr>
              <w:t xml:space="preserve">Certainty equiv.</w:t>
            </w:r>
          </w:p>
        </w:tc>
        <w:tc>
          <w:tcPr>
            <w:tcW w:type="dxa" w:w="1694"/>
            <w:shd w:fill="1D2C62" w:color="auto" w:val="clear"/>
            <w:tcMar>
              <w:top w:type="dxa" w:w="50"/>
              <w:left w:type="dxa" w:w="90"/>
              <w:bottom w:type="dxa" w:w="50"/>
              <w:right w:type="dxa" w:w="90"/>
            </w:tcMar>
            <w:vAlign w:val="center"/>
          </w:tcPr>
          <w:p>
            <w:pPr>
              <w:keepNext/>
              <w:jc w:val="right"/>
            </w:pPr>
            <w:r>
              <w:rPr>
                <w:b/>
                <w:bCs/>
                <w:color w:val="FFFFFF"/>
                <w:sz w:val="17"/>
                <w:szCs w:val="17"/>
              </w:rPr>
              <w:t xml:space="preserve">1-yr 95% VaR on ₹1 lakh</w:t>
            </w:r>
          </w:p>
        </w:tc>
        <w:tc>
          <w:tcPr>
            <w:tcW w:type="dxa" w:w="1035"/>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P(loss), 1 yr</w:t>
            </w:r>
          </w:p>
        </w:tc>
        <w:tc>
          <w:tcPr>
            <w:tcW w:type="dxa" w:w="1129"/>
            <w:shd w:fill="1D2C62" w:color="auto" w:val="clear"/>
            <w:tcMar>
              <w:top w:type="dxa" w:w="50"/>
              <w:left w:type="dxa" w:w="90"/>
              <w:bottom w:type="dxa" w:w="50"/>
              <w:right w:type="dxa" w:w="90"/>
            </w:tcMar>
            <w:vAlign w:val="center"/>
          </w:tcPr>
          <w:p>
            <w:pPr>
              <w:keepNext/>
              <w:jc w:val="right"/>
            </w:pPr>
            <w:r>
              <w:rPr>
                <w:b/>
                <w:bCs/>
                <w:color w:val="FFFFFF"/>
                <w:sz w:val="17"/>
                <w:szCs w:val="17"/>
              </w:rPr>
              <w:t xml:space="preserve">15-yr SIP median</w:t>
            </w:r>
          </w:p>
        </w:tc>
        <w:tc>
          <w:tcPr>
            <w:tcW w:type="dxa" w:w="1037"/>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 ₹75 lakh)</w:t>
            </w:r>
          </w:p>
        </w:tc>
      </w:tr>
      <w:tr>
        <w:trPr>
          <w:cantSplit/>
        </w:trPr>
        <w:tc>
          <w:tcPr>
            <w:tcW w:type="dxa" w:w="1129"/>
            <w:shd w:fill="FFFFFF" w:color="auto" w:val="clear"/>
            <w:tcMar>
              <w:top w:type="dxa" w:w="50"/>
              <w:left w:type="dxa" w:w="90"/>
              <w:bottom w:type="dxa" w:w="50"/>
              <w:right w:type="dxa" w:w="90"/>
            </w:tcMar>
            <w:vAlign w:val="center"/>
          </w:tcPr>
          <w:p>
            <w:pPr>
              <w:keepNext/>
              <w:jc w:val="left"/>
            </w:pPr>
            <w:r>
              <w:rPr>
                <w:b/>
                <w:bCs/>
                <w:color w:val="1D2C62"/>
                <w:sz w:val="17"/>
                <w:szCs w:val="17"/>
              </w:rPr>
              <w:t xml:space="preserve">Aggressive</w:t>
            </w:r>
          </w:p>
        </w:tc>
        <w:tc>
          <w:tcPr>
            <w:tcW w:type="dxa" w:w="376"/>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87%</w:t>
            </w:r>
          </w:p>
        </w:tc>
        <w:tc>
          <w:tcPr>
            <w:tcW w:type="dxa" w:w="65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11.4%</w:t>
            </w:r>
          </w:p>
        </w:tc>
        <w:tc>
          <w:tcPr>
            <w:tcW w:type="dxa" w:w="65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17.2%</w:t>
            </w:r>
          </w:p>
        </w:tc>
        <w:tc>
          <w:tcPr>
            <w:tcW w:type="dxa" w:w="94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8.5%</w:t>
            </w:r>
          </w:p>
        </w:tc>
        <w:tc>
          <w:tcPr>
            <w:tcW w:type="dxa" w:w="169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₹16,138 / ₹15,984</w:t>
            </w:r>
          </w:p>
        </w:tc>
        <w:tc>
          <w:tcPr>
            <w:tcW w:type="dxa" w:w="1035"/>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28% / 27%</w:t>
            </w:r>
          </w:p>
        </w:tc>
        <w:tc>
          <w:tcPr>
            <w:tcW w:type="dxa" w:w="112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₹69.5 lakh</w:t>
            </w:r>
          </w:p>
        </w:tc>
        <w:tc>
          <w:tcPr>
            <w:tcW w:type="dxa" w:w="103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36% / 29%</w:t>
            </w:r>
          </w:p>
        </w:tc>
      </w:tr>
      <w:tr>
        <w:trPr>
          <w:cantSplit/>
        </w:trPr>
        <w:tc>
          <w:tcPr>
            <w:tcW w:type="dxa" w:w="1129"/>
            <w:shd w:fill="F7F1E3" w:color="auto" w:val="clear"/>
            <w:tcMar>
              <w:top w:type="dxa" w:w="50"/>
              <w:left w:type="dxa" w:w="90"/>
              <w:bottom w:type="dxa" w:w="50"/>
              <w:right w:type="dxa" w:w="90"/>
            </w:tcMar>
            <w:vAlign w:val="center"/>
          </w:tcPr>
          <w:p>
            <w:pPr>
              <w:keepNext/>
              <w:jc w:val="left"/>
            </w:pPr>
            <w:r>
              <w:rPr>
                <w:b/>
                <w:bCs/>
                <w:color w:val="1D2C62"/>
                <w:sz w:val="17"/>
                <w:szCs w:val="17"/>
              </w:rPr>
              <w:t xml:space="preserve">Balanced</w:t>
            </w:r>
          </w:p>
        </w:tc>
        <w:tc>
          <w:tcPr>
            <w:tcW w:type="dxa" w:w="376"/>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4</w:t>
            </w:r>
          </w:p>
        </w:tc>
        <w:tc>
          <w:tcPr>
            <w:tcW w:type="dxa" w:w="753"/>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44%</w:t>
            </w:r>
          </w:p>
        </w:tc>
        <w:tc>
          <w:tcPr>
            <w:tcW w:type="dxa" w:w="65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8.5%</w:t>
            </w:r>
          </w:p>
        </w:tc>
        <w:tc>
          <w:tcPr>
            <w:tcW w:type="dxa" w:w="65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8.6%</w:t>
            </w:r>
          </w:p>
        </w:tc>
        <w:tc>
          <w:tcPr>
            <w:tcW w:type="dxa" w:w="941"/>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7.0%</w:t>
            </w:r>
          </w:p>
        </w:tc>
        <w:tc>
          <w:tcPr>
            <w:tcW w:type="dxa" w:w="1694"/>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₹5,582 / ₹5,465</w:t>
            </w:r>
          </w:p>
        </w:tc>
        <w:tc>
          <w:tcPr>
            <w:tcW w:type="dxa" w:w="1035"/>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17% / 16%</w:t>
            </w:r>
          </w:p>
        </w:tc>
        <w:tc>
          <w:tcPr>
            <w:tcW w:type="dxa" w:w="112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₹64.8 lakh</w:t>
            </w:r>
          </w:p>
        </w:tc>
        <w:tc>
          <w:tcPr>
            <w:tcW w:type="dxa" w:w="1037"/>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19% / 11%</w:t>
            </w:r>
          </w:p>
        </w:tc>
      </w:tr>
      <w:tr>
        <w:trPr>
          <w:cantSplit/>
        </w:trPr>
        <w:tc>
          <w:tcPr>
            <w:tcW w:type="dxa" w:w="1129"/>
            <w:shd w:fill="FFFFFF" w:color="auto" w:val="clear"/>
            <w:tcMar>
              <w:top w:type="dxa" w:w="50"/>
              <w:left w:type="dxa" w:w="90"/>
              <w:bottom w:type="dxa" w:w="50"/>
              <w:right w:type="dxa" w:w="90"/>
            </w:tcMar>
            <w:vAlign w:val="center"/>
          </w:tcPr>
          <w:p>
            <w:pPr>
              <w:keepNext/>
              <w:jc w:val="left"/>
            </w:pPr>
            <w:r>
              <w:rPr>
                <w:b/>
                <w:bCs/>
                <w:color w:val="1D2C62"/>
                <w:sz w:val="17"/>
                <w:szCs w:val="17"/>
              </w:rPr>
              <w:t xml:space="preserve">Conservative</w:t>
            </w:r>
          </w:p>
        </w:tc>
        <w:tc>
          <w:tcPr>
            <w:tcW w:type="dxa" w:w="376"/>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w:t>
            </w:r>
          </w:p>
        </w:tc>
        <w:tc>
          <w:tcPr>
            <w:tcW w:type="dxa" w:w="75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29%</w:t>
            </w:r>
          </w:p>
        </w:tc>
        <w:tc>
          <w:tcPr>
            <w:tcW w:type="dxa" w:w="65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7.5%</w:t>
            </w:r>
          </w:p>
        </w:tc>
        <w:tc>
          <w:tcPr>
            <w:tcW w:type="dxa" w:w="65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5.7%</w:t>
            </w:r>
          </w:p>
        </w:tc>
        <w:tc>
          <w:tcPr>
            <w:tcW w:type="dxa" w:w="941"/>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6.5%</w:t>
            </w:r>
          </w:p>
        </w:tc>
        <w:tc>
          <w:tcPr>
            <w:tcW w:type="dxa" w:w="169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₹1,940 / ₹1,822</w:t>
            </w:r>
          </w:p>
        </w:tc>
        <w:tc>
          <w:tcPr>
            <w:tcW w:type="dxa" w:w="1035"/>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10% / 9%</w:t>
            </w:r>
          </w:p>
        </w:tc>
        <w:tc>
          <w:tcPr>
            <w:tcW w:type="dxa" w:w="112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₹61.3 lakh</w:t>
            </w:r>
          </w:p>
        </w:tc>
        <w:tc>
          <w:tcPr>
            <w:tcW w:type="dxa" w:w="103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4% / 1%</w:t>
            </w:r>
          </w:p>
        </w:tc>
      </w:tr>
    </w:tbl>
    <w:p>
      <w:pPr>
        <w:spacing w:after="120" w:before="0"/>
        <w:jc w:val="center"/>
      </w:pPr>
      <w:r>
        <w:rPr>
          <w:i/>
          <w:iCs/>
          <w:color w:val="5A6590"/>
          <w:sz w:val="16"/>
          <w:szCs w:val="16"/>
        </w:rPr>
        <w:t xml:space="preserve">Table 5. Complete portfolios and their risk. Pairs are parametric (normal) / block-bootstrap Monte Carlo, 10,000 paths each.</w:t>
      </w:r>
    </w:p>
    <w:p>
      <w:pPr>
        <w:keepNext/>
        <w:spacing w:after="40"/>
        <w:jc w:val="center"/>
      </w:pPr>
      <w:r>
        <w:drawing>
          <wp:inline distT="0" distB="0" distL="0" distR="0">
            <wp:extent cx="5760720" cy="25347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534717"/>
                    </a:xfrm>
                    <a:prstGeom prst="rect">
                      <a:avLst/>
                    </a:prstGeom>
                  </pic:spPr>
                </pic:pic>
              </a:graphicData>
            </a:graphic>
          </wp:inline>
        </w:drawing>
      </w:r>
    </w:p>
    <w:p>
      <w:pPr>
        <w:spacing w:after="120" w:before="0"/>
        <w:jc w:val="center"/>
      </w:pPr>
      <w:r>
        <w:rPr>
          <w:i/>
          <w:iCs/>
          <w:color w:val="5A6590"/>
          <w:sz w:val="16"/>
          <w:szCs w:val="16"/>
        </w:rPr>
        <w:t xml:space="preserve">Figure 4. Corpus from a ₹10,000 monthly SIP rising 10% a year: median, 25th–75th and 5th–95th percentiles, against money invested.</w:t>
      </w:r>
    </w:p>
    <w:p>
      <w:pPr>
        <w:spacing w:after="100" w:before="0"/>
      </w:pPr>
      <w:r>
        <w:rPr>
          <w:b/>
          <w:bCs/>
        </w:rPr>
        <w:t xml:space="preserve">Building it over the years. </w:t>
      </w:r>
      <w:r>
        <w:t xml:space="preserve">Each of us estimates A with a short questionnaire (docs/risk_questionnaire.md) and starts a ₹10,000 SIP that rises 10% a year: half into a Nifty 50 index fund and half into P, with equity gliding to 40% as the goal nears. Our Investment Policy Statement sets the rules. Keep six months of expenses outside the portfolio. Rebalance yearly, with new money first. Review after every results season. Never sell in the month after a 20% fall, and never buy because a stock has just risen. The bootstrap keeps real fat tails and volatility clustering; its VaR is close to the normal model's, so fat tails matter little over one year.</w:t>
      </w:r>
    </w:p>
    <w:p>
      <w:pPr>
        <w:pStyle w:val="Heading1"/>
        <w:keepNext/>
      </w:pPr>
      <w:r>
        <w:t xml:space="preserve">5. Recommendation, risks and limitations</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1600"/>
        <w:gridCol w:w="659"/>
        <w:gridCol w:w="1506"/>
        <w:gridCol w:w="847"/>
        <w:gridCol w:w="4800"/>
      </w:tblGrid>
      <w:tr>
        <w:trPr>
          <w:cantSplit/>
          <w:tblHeader/>
        </w:trPr>
        <w:tc>
          <w:tcPr>
            <w:tcW w:type="dxa" w:w="1600"/>
            <w:shd w:fill="1D2C62" w:color="auto" w:val="clear"/>
            <w:tcMar>
              <w:top w:type="dxa" w:w="50"/>
              <w:left w:type="dxa" w:w="90"/>
              <w:bottom w:type="dxa" w:w="50"/>
              <w:right w:type="dxa" w:w="90"/>
            </w:tcMar>
            <w:vAlign w:val="center"/>
          </w:tcPr>
          <w:p>
            <w:pPr>
              <w:keepNext/>
              <w:jc w:val="left"/>
            </w:pPr>
            <w:r>
              <w:rPr>
                <w:b/>
                <w:bCs/>
                <w:color w:val="FFFFFF"/>
                <w:sz w:val="17"/>
                <w:szCs w:val="17"/>
              </w:rPr>
              <w:t xml:space="preserve">Stock</w:t>
            </w:r>
          </w:p>
        </w:tc>
        <w:tc>
          <w:tcPr>
            <w:tcW w:type="dxa" w:w="659"/>
            <w:shd w:fill="1D2C62" w:color="auto" w:val="clear"/>
            <w:tcMar>
              <w:top w:type="dxa" w:w="50"/>
              <w:left w:type="dxa" w:w="90"/>
              <w:bottom w:type="dxa" w:w="50"/>
              <w:right w:type="dxa" w:w="90"/>
            </w:tcMar>
            <w:vAlign w:val="center"/>
          </w:tcPr>
          <w:p>
            <w:pPr>
              <w:keepNext/>
              <w:jc w:val="left"/>
            </w:pPr>
            <w:r>
              <w:rPr>
                <w:b/>
                <w:bCs/>
                <w:color w:val="FFFFFF"/>
                <w:sz w:val="17"/>
                <w:szCs w:val="17"/>
              </w:rPr>
              <w:t xml:space="preserve">Call</w:t>
            </w:r>
          </w:p>
        </w:tc>
        <w:tc>
          <w:tcPr>
            <w:tcW w:type="dxa" w:w="1506"/>
            <w:shd w:fill="1D2C62" w:color="auto" w:val="clear"/>
            <w:tcMar>
              <w:top w:type="dxa" w:w="50"/>
              <w:left w:type="dxa" w:w="90"/>
              <w:bottom w:type="dxa" w:w="50"/>
              <w:right w:type="dxa" w:w="90"/>
            </w:tcMar>
            <w:vAlign w:val="center"/>
          </w:tcPr>
          <w:p>
            <w:pPr>
              <w:keepNext/>
              <w:jc w:val="right"/>
            </w:pPr>
            <w:r>
              <w:rPr>
                <w:b/>
                <w:bCs/>
                <w:color w:val="FFFFFF"/>
                <w:sz w:val="17"/>
                <w:szCs w:val="17"/>
              </w:rPr>
              <w:t xml:space="preserve">Range</w:t>
            </w:r>
          </w:p>
        </w:tc>
        <w:tc>
          <w:tcPr>
            <w:tcW w:type="dxa" w:w="847"/>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Price</w:t>
            </w:r>
          </w:p>
        </w:tc>
        <w:tc>
          <w:tcPr>
            <w:tcW w:type="dxa" w:w="4800"/>
            <w:shd w:fill="1D2C62" w:color="auto" w:val="clear"/>
            <w:tcMar>
              <w:top w:type="dxa" w:w="50"/>
              <w:left w:type="dxa" w:w="90"/>
              <w:bottom w:type="dxa" w:w="50"/>
              <w:right w:type="dxa" w:w="90"/>
            </w:tcMar>
            <w:vAlign w:val="center"/>
          </w:tcPr>
          <w:p>
            <w:pPr>
              <w:keepNext/>
              <w:jc w:val="left"/>
            </w:pPr>
            <w:r>
              <w:rPr>
                <w:b/>
                <w:bCs/>
                <w:color w:val="FFFFFF"/>
                <w:sz w:val="17"/>
                <w:szCs w:val="17"/>
              </w:rPr>
              <w:t xml:space="preserve">Why</w:t>
            </w:r>
          </w:p>
        </w:tc>
      </w:tr>
      <w:tr>
        <w:trPr>
          <w:cantSplit/>
        </w:trPr>
        <w:tc>
          <w:tcPr>
            <w:tcW w:type="dxa" w:w="16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Hindustan Unilever</w:t>
            </w:r>
          </w:p>
        </w:tc>
        <w:tc>
          <w:tcPr>
            <w:tcW w:type="dxa" w:w="659"/>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BUY</w:t>
            </w:r>
          </w:p>
        </w:tc>
        <w:tc>
          <w:tcPr>
            <w:tcW w:type="dxa" w:w="1506"/>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₹1,592–₹2,396</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₹1,862</w:t>
            </w:r>
          </w:p>
        </w:tc>
        <w:tc>
          <w:tcPr>
            <w:tcW w:type="dxa" w:w="4800"/>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Fairly valued on our models; lowest beta; bought while its sector is out of favour</w:t>
            </w:r>
          </w:p>
        </w:tc>
      </w:tr>
      <w:tr>
        <w:trPr>
          <w:cantSplit/>
        </w:trPr>
        <w:tc>
          <w:tcPr>
            <w:tcW w:type="dxa" w:w="1600"/>
            <w:shd w:fill="F7F1E3" w:color="auto" w:val="clear"/>
            <w:tcMar>
              <w:top w:type="dxa" w:w="50"/>
              <w:left w:type="dxa" w:w="90"/>
              <w:bottom w:type="dxa" w:w="50"/>
              <w:right w:type="dxa" w:w="90"/>
            </w:tcMar>
            <w:vAlign w:val="center"/>
          </w:tcPr>
          <w:p>
            <w:pPr>
              <w:keepNext/>
              <w:jc w:val="left"/>
            </w:pPr>
            <w:r>
              <w:rPr>
                <w:b/>
                <w:bCs/>
                <w:color w:val="1D2C62"/>
                <w:sz w:val="17"/>
                <w:szCs w:val="17"/>
              </w:rPr>
              <w:t xml:space="preserve">Sun Pharma</w:t>
            </w:r>
          </w:p>
        </w:tc>
        <w:tc>
          <w:tcPr>
            <w:tcW w:type="dxa" w:w="659"/>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HOLD</w:t>
            </w:r>
          </w:p>
        </w:tc>
        <w:tc>
          <w:tcPr>
            <w:tcW w:type="dxa" w:w="1506"/>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₹1,225–₹2,174</w:t>
            </w:r>
          </w:p>
        </w:tc>
        <w:tc>
          <w:tcPr>
            <w:tcW w:type="dxa" w:w="847"/>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₹1,760</w:t>
            </w:r>
          </w:p>
        </w:tc>
        <w:tc>
          <w:tcPr>
            <w:tcW w:type="dxa" w:w="4800"/>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Residual income says expensive, peers say fair; momentum and one-sided coverage argue for patience</w:t>
            </w:r>
          </w:p>
        </w:tc>
      </w:tr>
      <w:tr>
        <w:trPr>
          <w:cantSplit/>
        </w:trPr>
        <w:tc>
          <w:tcPr>
            <w:tcW w:type="dxa" w:w="16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ICICI Bank</w:t>
            </w:r>
          </w:p>
        </w:tc>
        <w:tc>
          <w:tcPr>
            <w:tcW w:type="dxa" w:w="659"/>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HOLD</w:t>
            </w:r>
          </w:p>
        </w:tc>
        <w:tc>
          <w:tcPr>
            <w:tcW w:type="dxa" w:w="1506"/>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₹857–₹1,747</w:t>
            </w:r>
          </w:p>
        </w:tc>
        <w:tc>
          <w:tcPr>
            <w:tcW w:type="dxa" w:w="847"/>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₹1,351</w:t>
            </w:r>
          </w:p>
        </w:tc>
        <w:tc>
          <w:tcPr>
            <w:tcW w:type="dxa" w:w="4800"/>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Highest expected return, but 57% of portfolio risk and a price that needs 13.9% growth for ever</w:t>
            </w:r>
          </w:p>
        </w:tc>
      </w:tr>
    </w:tbl>
    <w:p>
      <w:pPr>
        <w:spacing w:after="120" w:before="0"/>
        <w:jc w:val="center"/>
      </w:pPr>
      <w:r>
        <w:rPr>
          <w:i/>
          <w:iCs/>
          <w:color w:val="5A6590"/>
          <w:sz w:val="16"/>
          <w:szCs w:val="16"/>
        </w:rPr>
        <w:t xml:space="preserve">Table 6. Calls. The range runs from our blended value to the analysts' mean target. Hold = add only through the SIP.</w:t>
      </w:r>
    </w:p>
    <w:p>
      <w:pPr>
        <w:spacing w:after="100" w:before="0"/>
      </w:pPr>
      <w:r>
        <w:rPr>
          <w:b/>
          <w:bCs/>
        </w:rPr>
        <w:t xml:space="preserve">Risks. </w:t>
      </w:r>
      <w:r>
        <w:t xml:space="preserve">Concentration: ICICI is 50% of the weight but 57% of the risk. Valuation: all three prices assume high growth for ever. Regulation: a proposed cap on trade margins for anti-cancer drugs (Sun Pharma). Cycle: a credit slowdown would hit ICICI and the Nifty together.</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3388"/>
        <w:gridCol w:w="1129"/>
        <w:gridCol w:w="1224"/>
        <w:gridCol w:w="1224"/>
        <w:gridCol w:w="1224"/>
        <w:gridCol w:w="1223"/>
      </w:tblGrid>
      <w:tr>
        <w:trPr>
          <w:cantSplit/>
          <w:tblHeader/>
        </w:trPr>
        <w:tc>
          <w:tcPr>
            <w:tcW w:type="dxa" w:w="3388"/>
            <w:shd w:fill="1D2C62" w:color="auto" w:val="clear"/>
            <w:tcMar>
              <w:top w:type="dxa" w:w="50"/>
              <w:left w:type="dxa" w:w="90"/>
              <w:bottom w:type="dxa" w:w="50"/>
              <w:right w:type="dxa" w:w="90"/>
            </w:tcMar>
            <w:vAlign w:val="center"/>
          </w:tcPr>
          <w:p>
            <w:pPr>
              <w:keepNext/>
              <w:jc w:val="left"/>
            </w:pPr>
            <w:r>
              <w:rPr>
                <w:b/>
                <w:bCs/>
                <w:color w:val="FFFFFF"/>
                <w:sz w:val="17"/>
                <w:szCs w:val="17"/>
              </w:rPr>
              <w:t xml:space="preserve">Sell-off</w:t>
            </w:r>
          </w:p>
        </w:tc>
        <w:tc>
          <w:tcPr>
            <w:tcW w:type="dxa" w:w="1129"/>
            <w:shd w:fill="1D2C62" w:color="auto" w:val="clear"/>
            <w:tcMar>
              <w:top w:type="dxa" w:w="50"/>
              <w:left w:type="dxa" w:w="90"/>
              <w:bottom w:type="dxa" w:w="50"/>
              <w:right w:type="dxa" w:w="90"/>
            </w:tcMar>
            <w:vAlign w:val="center"/>
          </w:tcPr>
          <w:p>
            <w:pPr>
              <w:keepNext/>
              <w:jc w:val="right"/>
            </w:pPr>
            <w:r>
              <w:rPr>
                <w:b/>
                <w:bCs/>
                <w:color w:val="FFFFFF"/>
                <w:sz w:val="17"/>
                <w:szCs w:val="17"/>
              </w:rPr>
              <w:t xml:space="preserve">HUL</w:t>
            </w:r>
          </w:p>
        </w:tc>
        <w:tc>
          <w:tcPr>
            <w:tcW w:type="dxa" w:w="1224"/>
            <w:shd w:fill="1D2C62" w:color="auto" w:val="clear"/>
            <w:tcMar>
              <w:top w:type="dxa" w:w="50"/>
              <w:left w:type="dxa" w:w="90"/>
              <w:bottom w:type="dxa" w:w="50"/>
              <w:right w:type="dxa" w:w="90"/>
            </w:tcMar>
            <w:vAlign w:val="center"/>
          </w:tcPr>
          <w:p>
            <w:pPr>
              <w:keepNext/>
              <w:jc w:val="right"/>
            </w:pPr>
            <w:r>
              <w:rPr>
                <w:b/>
                <w:bCs/>
                <w:color w:val="FFFFFF"/>
                <w:sz w:val="17"/>
                <w:szCs w:val="17"/>
              </w:rPr>
              <w:t xml:space="preserve">Sun Pharma</w:t>
            </w:r>
          </w:p>
        </w:tc>
        <w:tc>
          <w:tcPr>
            <w:tcW w:type="dxa" w:w="1224"/>
            <w:shd w:fill="1D2C62" w:color="auto" w:val="clear"/>
            <w:tcMar>
              <w:top w:type="dxa" w:w="50"/>
              <w:left w:type="dxa" w:w="90"/>
              <w:bottom w:type="dxa" w:w="50"/>
              <w:right w:type="dxa" w:w="90"/>
            </w:tcMar>
            <w:vAlign w:val="center"/>
          </w:tcPr>
          <w:p>
            <w:pPr>
              <w:keepNext/>
              <w:jc w:val="right"/>
            </w:pPr>
            <w:r>
              <w:rPr>
                <w:b/>
                <w:bCs/>
                <w:color w:val="FFFFFF"/>
                <w:sz w:val="17"/>
                <w:szCs w:val="17"/>
              </w:rPr>
              <w:t xml:space="preserve">ICICI Bank</w:t>
            </w:r>
          </w:p>
        </w:tc>
        <w:tc>
          <w:tcPr>
            <w:tcW w:type="dxa" w:w="1224"/>
            <w:shd w:fill="1D2C62" w:color="auto" w:val="clear"/>
            <w:tcMar>
              <w:top w:type="dxa" w:w="50"/>
              <w:left w:type="dxa" w:w="90"/>
              <w:bottom w:type="dxa" w:w="50"/>
              <w:right w:type="dxa" w:w="90"/>
            </w:tcMar>
            <w:vAlign w:val="center"/>
          </w:tcPr>
          <w:p>
            <w:pPr>
              <w:keepNext/>
              <w:jc w:val="right"/>
            </w:pPr>
            <w:r>
              <w:rPr>
                <w:b/>
                <w:bCs/>
                <w:color w:val="FFFFFF"/>
                <w:sz w:val="17"/>
                <w:szCs w:val="17"/>
              </w:rPr>
              <w:t xml:space="preserve">Portfolio P</w:t>
            </w:r>
          </w:p>
        </w:tc>
        <w:tc>
          <w:tcPr>
            <w:tcW w:type="dxa" w:w="1223"/>
            <w:shd w:fill="1D2C62" w:color="auto" w:val="clear"/>
            <w:tcMar>
              <w:top w:type="dxa" w:w="50"/>
              <w:left w:type="dxa" w:w="90"/>
              <w:bottom w:type="dxa" w:w="50"/>
              <w:right w:type="dxa" w:w="90"/>
            </w:tcMar>
            <w:vAlign w:val="center"/>
          </w:tcPr>
          <w:p>
            <w:pPr>
              <w:keepNext/>
              <w:jc w:val="right"/>
            </w:pPr>
            <w:r>
              <w:rPr>
                <w:b/>
                <w:bCs/>
                <w:color w:val="FFFFFF"/>
                <w:sz w:val="17"/>
                <w:szCs w:val="17"/>
              </w:rPr>
              <w:t xml:space="preserve">Nifty 50</w:t>
            </w:r>
          </w:p>
        </w:tc>
      </w:tr>
      <w:tr>
        <w:trPr>
          <w:cantSplit/>
        </w:trPr>
        <w:tc>
          <w:tcPr>
            <w:tcW w:type="dxa" w:w="3388"/>
            <w:shd w:fill="FFFFFF" w:color="auto" w:val="clear"/>
            <w:tcMar>
              <w:top w:type="dxa" w:w="50"/>
              <w:left w:type="dxa" w:w="90"/>
              <w:bottom w:type="dxa" w:w="50"/>
              <w:right w:type="dxa" w:w="90"/>
            </w:tcMar>
            <w:vAlign w:val="center"/>
          </w:tcPr>
          <w:p>
            <w:pPr>
              <w:keepNext/>
              <w:jc w:val="left"/>
            </w:pPr>
            <w:r>
              <w:rPr>
                <w:b/>
                <w:bCs/>
                <w:color w:val="1D2C62"/>
                <w:sz w:val="17"/>
                <w:szCs w:val="17"/>
              </w:rPr>
              <w:t xml:space="preserve">COVID crash (Feb-Mar 2020)</w:t>
            </w:r>
          </w:p>
        </w:tc>
        <w:tc>
          <w:tcPr>
            <w:tcW w:type="dxa" w:w="112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−18.4%</w:t>
            </w:r>
          </w:p>
        </w:tc>
        <w:tc>
          <w:tcPr>
            <w:tcW w:type="dxa" w:w="122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−19.6%</w:t>
            </w:r>
          </w:p>
        </w:tc>
        <w:tc>
          <w:tcPr>
            <w:tcW w:type="dxa" w:w="122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−47.9%</w:t>
            </w:r>
          </w:p>
        </w:tc>
        <w:tc>
          <w:tcPr>
            <w:tcW w:type="dxa" w:w="122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−34.6%</w:t>
            </w:r>
          </w:p>
        </w:tc>
        <w:tc>
          <w:tcPr>
            <w:tcW w:type="dxa" w:w="122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−37.2%</w:t>
            </w:r>
          </w:p>
        </w:tc>
      </w:tr>
      <w:tr>
        <w:trPr>
          <w:cantSplit/>
        </w:trPr>
        <w:tc>
          <w:tcPr>
            <w:tcW w:type="dxa" w:w="3388"/>
            <w:shd w:fill="F7F1E3" w:color="auto" w:val="clear"/>
            <w:tcMar>
              <w:top w:type="dxa" w:w="50"/>
              <w:left w:type="dxa" w:w="90"/>
              <w:bottom w:type="dxa" w:w="50"/>
              <w:right w:type="dxa" w:w="90"/>
            </w:tcMar>
            <w:vAlign w:val="center"/>
          </w:tcPr>
          <w:p>
            <w:pPr>
              <w:keepNext/>
              <w:jc w:val="left"/>
            </w:pPr>
            <w:r>
              <w:rPr>
                <w:b/>
                <w:bCs/>
                <w:color w:val="1D2C62"/>
                <w:sz w:val="17"/>
                <w:szCs w:val="17"/>
              </w:rPr>
              <w:t xml:space="preserve">Rate-hike sell-off (Jan-Jun 2022)</w:t>
            </w:r>
          </w:p>
        </w:tc>
        <w:tc>
          <w:tcPr>
            <w:tcW w:type="dxa" w:w="112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−10.9%</w:t>
            </w:r>
          </w:p>
        </w:tc>
        <w:tc>
          <w:tcPr>
            <w:tcW w:type="dxa" w:w="1224"/>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−6.3%</w:t>
            </w:r>
          </w:p>
        </w:tc>
        <w:tc>
          <w:tcPr>
            <w:tcW w:type="dxa" w:w="1224"/>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−16.2%</w:t>
            </w:r>
          </w:p>
        </w:tc>
        <w:tc>
          <w:tcPr>
            <w:tcW w:type="dxa" w:w="1224"/>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−12.3%</w:t>
            </w:r>
          </w:p>
        </w:tc>
        <w:tc>
          <w:tcPr>
            <w:tcW w:type="dxa" w:w="1223"/>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−16.1%</w:t>
            </w:r>
          </w:p>
        </w:tc>
      </w:tr>
      <w:tr>
        <w:trPr>
          <w:cantSplit/>
        </w:trPr>
        <w:tc>
          <w:tcPr>
            <w:tcW w:type="dxa" w:w="3388"/>
            <w:shd w:fill="FFFFFF" w:color="auto" w:val="clear"/>
            <w:tcMar>
              <w:top w:type="dxa" w:w="50"/>
              <w:left w:type="dxa" w:w="90"/>
              <w:bottom w:type="dxa" w:w="50"/>
              <w:right w:type="dxa" w:w="90"/>
            </w:tcMar>
            <w:vAlign w:val="center"/>
          </w:tcPr>
          <w:p>
            <w:pPr>
              <w:keepNext/>
              <w:jc w:val="left"/>
            </w:pPr>
            <w:r>
              <w:rPr>
                <w:b/>
                <w:bCs/>
                <w:color w:val="1D2C62"/>
                <w:sz w:val="17"/>
                <w:szCs w:val="17"/>
              </w:rPr>
              <w:t xml:space="preserve">Election-result shock (4 Jun 2024)</w:t>
            </w:r>
          </w:p>
        </w:tc>
        <w:tc>
          <w:tcPr>
            <w:tcW w:type="dxa" w:w="1129"/>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+6.0%</w:t>
            </w:r>
          </w:p>
        </w:tc>
        <w:tc>
          <w:tcPr>
            <w:tcW w:type="dxa" w:w="122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−1.6%</w:t>
            </w:r>
          </w:p>
        </w:tc>
        <w:tc>
          <w:tcPr>
            <w:tcW w:type="dxa" w:w="122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−7.6%</w:t>
            </w:r>
          </w:p>
        </w:tc>
        <w:tc>
          <w:tcPr>
            <w:tcW w:type="dxa" w:w="1224"/>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−2.3%</w:t>
            </w:r>
          </w:p>
        </w:tc>
        <w:tc>
          <w:tcPr>
            <w:tcW w:type="dxa" w:w="1223"/>
            <w:shd w:fill="FFFFFF"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−5.9%</w:t>
            </w:r>
          </w:p>
        </w:tc>
      </w:tr>
      <w:tr>
        <w:trPr>
          <w:cantSplit/>
        </w:trPr>
        <w:tc>
          <w:tcPr>
            <w:tcW w:type="dxa" w:w="3388"/>
            <w:shd w:fill="F7F1E3" w:color="auto" w:val="clear"/>
            <w:tcMar>
              <w:top w:type="dxa" w:w="50"/>
              <w:left w:type="dxa" w:w="90"/>
              <w:bottom w:type="dxa" w:w="50"/>
              <w:right w:type="dxa" w:w="90"/>
            </w:tcMar>
            <w:vAlign w:val="center"/>
          </w:tcPr>
          <w:p>
            <w:pPr>
              <w:keepNext/>
              <w:jc w:val="left"/>
            </w:pPr>
            <w:r>
              <w:rPr>
                <w:b/>
                <w:bCs/>
                <w:color w:val="1D2C62"/>
                <w:sz w:val="17"/>
                <w:szCs w:val="17"/>
              </w:rPr>
              <w:t xml:space="preserve">2026 drawdown (02 Jan 2026 to 13 Oct 2026)</w:t>
            </w:r>
          </w:p>
        </w:tc>
        <w:tc>
          <w:tcPr>
            <w:tcW w:type="dxa" w:w="1129"/>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−19.9%</w:t>
            </w:r>
          </w:p>
        </w:tc>
        <w:tc>
          <w:tcPr>
            <w:tcW w:type="dxa" w:w="1224"/>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+2.8%</w:t>
            </w:r>
          </w:p>
        </w:tc>
        <w:tc>
          <w:tcPr>
            <w:tcW w:type="dxa" w:w="1224"/>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+0.5%</w:t>
            </w:r>
          </w:p>
        </w:tc>
        <w:tc>
          <w:tcPr>
            <w:tcW w:type="dxa" w:w="1224"/>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−5.1%</w:t>
            </w:r>
          </w:p>
        </w:tc>
        <w:tc>
          <w:tcPr>
            <w:tcW w:type="dxa" w:w="1223"/>
            <w:shd w:fill="F7F1E3" w:color="auto" w:val="clear"/>
            <w:tcMar>
              <w:top w:type="dxa" w:w="50"/>
              <w:left w:type="dxa" w:w="90"/>
              <w:bottom w:type="dxa" w:w="50"/>
              <w:right w:type="dxa" w:w="90"/>
            </w:tcMar>
            <w:vAlign w:val="center"/>
          </w:tcPr>
          <w:p>
            <w:pPr>
              <w:keepNext/>
              <w:jc w:val="right"/>
            </w:pPr>
            <w:r>
              <w:rPr>
                <w:b w:val="false"/>
                <w:bCs w:val="false"/>
                <w:color w:val="1D2C62"/>
                <w:sz w:val="17"/>
                <w:szCs w:val="17"/>
              </w:rPr>
              <w:t xml:space="preserve">−13.7%</w:t>
            </w:r>
          </w:p>
        </w:tc>
      </w:tr>
    </w:tbl>
    <w:p>
      <w:pPr>
        <w:spacing w:after="120" w:before="0"/>
        <w:jc w:val="center"/>
      </w:pPr>
      <w:r>
        <w:rPr>
          <w:i/>
          <w:iCs/>
          <w:color w:val="5A6590"/>
          <w:sz w:val="16"/>
          <w:szCs w:val="16"/>
        </w:rPr>
        <w:t xml:space="preserve">Table 7. Stress tests: price change through four real sell-offs. P fell less than the Nifty in 4 of 4.</w:t>
      </w:r>
    </w:p>
    <w:p>
      <w:pPr>
        <w:spacing w:after="100" w:before="0"/>
      </w:pPr>
      <w:r>
        <w:rPr>
          <w:b/>
          <w:bCs/>
        </w:rPr>
        <w:t xml:space="preserve">Limitations. </w:t>
      </w:r>
      <w:r>
        <w:t xml:space="preserve">One risk-free rate is applied to 2016–26; the Nifty total return is estimated (+1.22% a year); CAPM is a single-factor model and forward returns depend on the ERP; the Monte Carlo assumes stable volatility and correlation; results are pre-tax and before fees; and Sun Pharma was chosen after its run. This is coursework, not investment advice.</w:t>
      </w:r>
    </w:p>
    <w:p>
      <w:r>
        <w:br w:type="page"/>
      </w:r>
    </w:p>
    <w:p>
      <w:pPr>
        <w:spacing w:after="40" w:before="0"/>
      </w:pPr>
      <w:r>
        <w:rPr>
          <w:b/>
          <w:bCs/>
          <w:color w:val="C84D00"/>
          <w:sz w:val="17"/>
          <w:szCs w:val="17"/>
        </w:rPr>
        <w:t xml:space="preserve">APPENDIX · NOT PART OF THE FOUR-PAGE REPORT</w:t>
      </w:r>
    </w:p>
    <w:p>
      <w:pPr>
        <w:pStyle w:val="Heading1"/>
        <w:keepNext/>
      </w:pPr>
      <w:r>
        <w:t xml:space="preserve">A. How to view the dashboard</w:t>
      </w:r>
    </w:p>
    <w:p>
      <w:pPr>
        <w:spacing w:after="100" w:before="0"/>
      </w:pPr>
      <w:r>
        <w:rPr>
          <w:b/>
          <w:bCs/>
        </w:rPr>
        <w:t xml:space="preserve">Link: </w:t>
      </w:r>
      <w:r>
        <w:t xml:space="preserve">added once the app is deployed on Streamlit Community Cloud (see README).</w:t>
      </w:r>
    </w:p>
    <w:p>
      <w:pPr>
        <w:pStyle w:val="ListParagraph"/>
        <w:numPr>
          <w:ilvl w:val="0"/>
          <w:numId w:val="2"/>
        </w:numPr>
        <w:spacing w:after="40"/>
      </w:pPr>
      <w:r>
        <w:t xml:space="preserve">If you see “This app has gone to sleep”, click the button; it loads in about a minute. Free apps sleep when idle.</w:t>
      </w:r>
    </w:p>
    <w:p>
      <w:pPr>
        <w:pStyle w:val="ListParagraph"/>
        <w:numPr>
          <w:ilvl w:val="0"/>
          <w:numId w:val="2"/>
        </w:numPr>
        <w:spacing w:after="40"/>
      </w:pPr>
      <w:r>
        <w:t xml:space="preserve">The data selector opens on Submission, the numbers in this report. Latest is refreshed every weekday evening after the NSE close.</w:t>
      </w:r>
    </w:p>
    <w:p>
      <w:pPr>
        <w:pStyle w:val="ListParagraph"/>
        <w:numPr>
          <w:ilvl w:val="0"/>
          <w:numId w:val="2"/>
        </w:numPr>
        <w:spacing w:after="40"/>
      </w:pPr>
      <w:r>
        <w:t xml:space="preserve">The risk-aversion slider recomputes your share in P and the complete portfolio for any A. “Ask the portfolio” answers questions from the computed results, citing the file behind each number.</w:t>
      </w:r>
    </w:p>
    <w:p>
      <w:pPr>
        <w:spacing w:after="100" w:before="60"/>
      </w:pPr>
      <w:r>
        <w:rPr>
          <w:b/>
          <w:bCs/>
        </w:rPr>
        <w:t xml:space="preserve">Code and data: </w:t>
      </w:r>
      <w:r>
        <w:t xml:space="preserve">GitHub repository (link added once published); a ZIP of the tagged submission is attached.</w:t>
      </w:r>
    </w:p>
    <w:p>
      <w:pPr>
        <w:pStyle w:val="Heading1"/>
        <w:keepNext/>
      </w:pPr>
      <w:r>
        <w:t xml:space="preserve">B. What we submit</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2824"/>
        <w:gridCol w:w="6588"/>
      </w:tblGrid>
      <w:tr>
        <w:trPr>
          <w:cantSplit/>
          <w:tblHeader/>
        </w:trPr>
        <w:tc>
          <w:tcPr>
            <w:tcW w:type="dxa" w:w="2824"/>
            <w:shd w:fill="1D2C62" w:color="auto" w:val="clear"/>
            <w:tcMar>
              <w:top w:type="dxa" w:w="50"/>
              <w:left w:type="dxa" w:w="90"/>
              <w:bottom w:type="dxa" w:w="50"/>
              <w:right w:type="dxa" w:w="90"/>
            </w:tcMar>
            <w:vAlign w:val="center"/>
          </w:tcPr>
          <w:p>
            <w:pPr>
              <w:keepNext/>
              <w:jc w:val="left"/>
            </w:pPr>
            <w:r>
              <w:rPr>
                <w:b/>
                <w:bCs/>
                <w:color w:val="FFFFFF"/>
                <w:sz w:val="17"/>
                <w:szCs w:val="17"/>
              </w:rPr>
              <w:t xml:space="preserve">File</w:t>
            </w:r>
          </w:p>
        </w:tc>
        <w:tc>
          <w:tcPr>
            <w:tcW w:type="dxa" w:w="6588"/>
            <w:shd w:fill="1D2C62" w:color="auto" w:val="clear"/>
            <w:tcMar>
              <w:top w:type="dxa" w:w="50"/>
              <w:left w:type="dxa" w:w="90"/>
              <w:bottom w:type="dxa" w:w="50"/>
              <w:right w:type="dxa" w:w="90"/>
            </w:tcMar>
            <w:vAlign w:val="center"/>
          </w:tcPr>
          <w:p>
            <w:pPr>
              <w:keepNext/>
              <w:jc w:val="left"/>
            </w:pPr>
            <w:r>
              <w:rPr>
                <w:b/>
                <w:bCs/>
                <w:color w:val="FFFFFF"/>
                <w:sz w:val="17"/>
                <w:szCs w:val="17"/>
              </w:rPr>
              <w:t xml:space="preserve">Contents</w:t>
            </w:r>
          </w:p>
        </w:tc>
      </w:tr>
      <w:tr>
        <w:trPr>
          <w:cantSplit/>
        </w:trPr>
        <w:tc>
          <w:tcPr>
            <w:tcW w:type="dxa" w:w="2824"/>
            <w:shd w:fill="FFFFFF" w:color="auto" w:val="clear"/>
            <w:tcMar>
              <w:top w:type="dxa" w:w="50"/>
              <w:left w:type="dxa" w:w="90"/>
              <w:bottom w:type="dxa" w:w="50"/>
              <w:right w:type="dxa" w:w="90"/>
            </w:tcMar>
            <w:vAlign w:val="center"/>
          </w:tcPr>
          <w:p>
            <w:pPr>
              <w:keepNext/>
              <w:jc w:val="left"/>
            </w:pPr>
            <w:r>
              <w:rPr>
                <w:b/>
                <w:bCs/>
                <w:color w:val="1D2C62"/>
                <w:sz w:val="17"/>
                <w:szCs w:val="17"/>
              </w:rPr>
              <w:t xml:space="preserve">SA_Portfolio_Report.pdf</w:t>
            </w:r>
          </w:p>
        </w:tc>
        <w:tc>
          <w:tcPr>
            <w:tcW w:type="dxa" w:w="6588"/>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This report</w:t>
            </w:r>
          </w:p>
        </w:tc>
      </w:tr>
      <w:tr>
        <w:trPr>
          <w:cantSplit/>
        </w:trPr>
        <w:tc>
          <w:tcPr>
            <w:tcW w:type="dxa" w:w="2824"/>
            <w:shd w:fill="F7F1E3" w:color="auto" w:val="clear"/>
            <w:tcMar>
              <w:top w:type="dxa" w:w="50"/>
              <w:left w:type="dxa" w:w="90"/>
              <w:bottom w:type="dxa" w:w="50"/>
              <w:right w:type="dxa" w:w="90"/>
            </w:tcMar>
            <w:vAlign w:val="center"/>
          </w:tcPr>
          <w:p>
            <w:pPr>
              <w:keepNext/>
              <w:jc w:val="left"/>
            </w:pPr>
            <w:r>
              <w:rPr>
                <w:b/>
                <w:bCs/>
                <w:color w:val="1D2C62"/>
                <w:sz w:val="17"/>
                <w:szCs w:val="17"/>
              </w:rPr>
              <w:t xml:space="preserve">SA_Portfolio_Deck.pptx / .pdf</w:t>
            </w:r>
          </w:p>
        </w:tc>
        <w:tc>
          <w:tcPr>
            <w:tcW w:type="dxa" w:w="6588"/>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The 10–12 minute presentation, with speaker notes</w:t>
            </w:r>
          </w:p>
        </w:tc>
      </w:tr>
      <w:tr>
        <w:trPr>
          <w:cantSplit/>
        </w:trPr>
        <w:tc>
          <w:tcPr>
            <w:tcW w:type="dxa" w:w="2824"/>
            <w:shd w:fill="FFFFFF" w:color="auto" w:val="clear"/>
            <w:tcMar>
              <w:top w:type="dxa" w:w="50"/>
              <w:left w:type="dxa" w:w="90"/>
              <w:bottom w:type="dxa" w:w="50"/>
              <w:right w:type="dxa" w:w="90"/>
            </w:tcMar>
            <w:vAlign w:val="center"/>
          </w:tcPr>
          <w:p>
            <w:pPr>
              <w:keepNext/>
              <w:jc w:val="left"/>
            </w:pPr>
            <w:r>
              <w:rPr>
                <w:b/>
                <w:bCs/>
                <w:color w:val="1D2C62"/>
                <w:sz w:val="17"/>
                <w:szCs w:val="17"/>
              </w:rPr>
              <w:t xml:space="preserve">valuation.xlsx</w:t>
            </w:r>
          </w:p>
        </w:tc>
        <w:tc>
          <w:tcPr>
            <w:tcW w:type="dxa" w:w="6588"/>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DDM, residual income, peer multiples and sensitivity grids, as live formulas</w:t>
            </w:r>
          </w:p>
        </w:tc>
      </w:tr>
      <w:tr>
        <w:trPr>
          <w:cantSplit/>
        </w:trPr>
        <w:tc>
          <w:tcPr>
            <w:tcW w:type="dxa" w:w="2824"/>
            <w:shd w:fill="F7F1E3" w:color="auto" w:val="clear"/>
            <w:tcMar>
              <w:top w:type="dxa" w:w="50"/>
              <w:left w:type="dxa" w:w="90"/>
              <w:bottom w:type="dxa" w:w="50"/>
              <w:right w:type="dxa" w:w="90"/>
            </w:tcMar>
            <w:vAlign w:val="center"/>
          </w:tcPr>
          <w:p>
            <w:pPr>
              <w:keepNext/>
              <w:jc w:val="left"/>
            </w:pPr>
            <w:r>
              <w:rPr>
                <w:b/>
                <w:bCs/>
                <w:color w:val="1D2C62"/>
                <w:sz w:val="17"/>
                <w:szCs w:val="17"/>
              </w:rPr>
              <w:t xml:space="preserve">sa-portfolio (GitHub / ZIP)</w:t>
            </w:r>
          </w:p>
        </w:tc>
        <w:tc>
          <w:tcPr>
            <w:tcW w:type="dxa" w:w="6588"/>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Python pipeline, tests, dashboard, AI outputs and the frozen data behind every number</w:t>
            </w:r>
          </w:p>
        </w:tc>
      </w:tr>
    </w:tbl>
    <w:p>
      <w:pPr>
        <w:spacing w:after="80"/>
      </w:pPr>
    </w:p>
    <w:p>
      <w:pPr>
        <w:pStyle w:val="Heading1"/>
        <w:keepNext/>
      </w:pPr>
      <w:r>
        <w:t xml:space="preserve">C. Data sources and AI steps</w:t>
      </w:r>
    </w:p>
    <w:tbl>
      <w:tblPr>
        <w:tblW w:type="dxa" w:w="9412"/>
        <w:tblBorders>
          <w:top w:val="none" w:color="FFFFFF" w:sz="0"/>
          <w:left w:val="none" w:color="FFFFFF" w:sz="0"/>
          <w:bottom w:val="single" w:color="D9CBB0" w:sz="4"/>
          <w:right w:val="none" w:color="FFFFFF" w:sz="0"/>
          <w:insideH w:val="single" w:color="EADFC8" w:sz="4"/>
          <w:insideV w:val="none" w:color="FFFFFF" w:sz="0"/>
        </w:tblBorders>
      </w:tblPr>
      <w:tblGrid>
        <w:gridCol w:w="3200"/>
        <w:gridCol w:w="6212"/>
      </w:tblGrid>
      <w:tr>
        <w:trPr>
          <w:cantSplit/>
          <w:tblHeader/>
        </w:trPr>
        <w:tc>
          <w:tcPr>
            <w:tcW w:type="dxa" w:w="3200"/>
            <w:shd w:fill="1D2C62" w:color="auto" w:val="clear"/>
            <w:tcMar>
              <w:top w:type="dxa" w:w="50"/>
              <w:left w:type="dxa" w:w="90"/>
              <w:bottom w:type="dxa" w:w="50"/>
              <w:right w:type="dxa" w:w="90"/>
            </w:tcMar>
            <w:vAlign w:val="center"/>
          </w:tcPr>
          <w:p>
            <w:pPr>
              <w:keepNext/>
              <w:jc w:val="left"/>
            </w:pPr>
            <w:r>
              <w:rPr>
                <w:b/>
                <w:bCs/>
                <w:color w:val="FFFFFF"/>
                <w:sz w:val="17"/>
                <w:szCs w:val="17"/>
              </w:rPr>
              <w:t xml:space="preserve">Source</w:t>
            </w:r>
          </w:p>
        </w:tc>
        <w:tc>
          <w:tcPr>
            <w:tcW w:type="dxa" w:w="6212"/>
            <w:shd w:fill="1D2C62" w:color="auto" w:val="clear"/>
            <w:tcMar>
              <w:top w:type="dxa" w:w="50"/>
              <w:left w:type="dxa" w:w="90"/>
              <w:bottom w:type="dxa" w:w="50"/>
              <w:right w:type="dxa" w:w="90"/>
            </w:tcMar>
            <w:vAlign w:val="center"/>
          </w:tcPr>
          <w:p>
            <w:pPr>
              <w:keepNext/>
              <w:jc w:val="left"/>
            </w:pPr>
            <w:r>
              <w:rPr>
                <w:b/>
                <w:bCs/>
                <w:color w:val="FFFFFF"/>
                <w:sz w:val="17"/>
                <w:szCs w:val="17"/>
              </w:rPr>
              <w:t xml:space="preserve">Used for</w:t>
            </w:r>
          </w:p>
        </w:tc>
      </w:tr>
      <w:tr>
        <w:trPr>
          <w:cantSplit/>
        </w:trPr>
        <w:tc>
          <w:tcPr>
            <w:tcW w:type="dxa" w:w="32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Yahoo Finance (yfinance)</w:t>
            </w:r>
          </w:p>
        </w:tc>
        <w:tc>
          <w:tcPr>
            <w:tcW w:type="dxa" w:w="6212"/>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Daily prices 2016–2026, statements, analyst consensus, earnings dates</w:t>
            </w:r>
          </w:p>
        </w:tc>
      </w:tr>
      <w:tr>
        <w:trPr>
          <w:cantSplit/>
        </w:trPr>
        <w:tc>
          <w:tcPr>
            <w:tcW w:type="dxa" w:w="3200"/>
            <w:shd w:fill="F7F1E3" w:color="auto" w:val="clear"/>
            <w:tcMar>
              <w:top w:type="dxa" w:w="50"/>
              <w:left w:type="dxa" w:w="90"/>
              <w:bottom w:type="dxa" w:w="50"/>
              <w:right w:type="dxa" w:w="90"/>
            </w:tcMar>
            <w:vAlign w:val="center"/>
          </w:tcPr>
          <w:p>
            <w:pPr>
              <w:keepNext/>
              <w:jc w:val="left"/>
            </w:pPr>
            <w:r>
              <w:rPr>
                <w:b/>
                <w:bCs/>
                <w:color w:val="1D2C62"/>
                <w:sz w:val="17"/>
                <w:szCs w:val="17"/>
              </w:rPr>
              <w:t xml:space="preserve">Screener.in</w:t>
            </w:r>
          </w:p>
        </w:tc>
        <w:tc>
          <w:tcPr>
            <w:tcW w:type="dxa" w:w="6212"/>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Ten-year financials; peer multiples</w:t>
            </w:r>
          </w:p>
        </w:tc>
      </w:tr>
      <w:tr>
        <w:trPr>
          <w:cantSplit/>
        </w:trPr>
        <w:tc>
          <w:tcPr>
            <w:tcW w:type="dxa" w:w="32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BSE filings, company IR sites</w:t>
            </w:r>
          </w:p>
        </w:tc>
        <w:tc>
          <w:tcPr>
            <w:tcW w:type="dxa" w:w="6212"/>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FY26 annual reports and 6–7 quarters of call transcripts per company</w:t>
            </w:r>
          </w:p>
        </w:tc>
      </w:tr>
      <w:tr>
        <w:trPr>
          <w:cantSplit/>
        </w:trPr>
        <w:tc>
          <w:tcPr>
            <w:tcW w:type="dxa" w:w="3200"/>
            <w:shd w:fill="F7F1E3" w:color="auto" w:val="clear"/>
            <w:tcMar>
              <w:top w:type="dxa" w:w="50"/>
              <w:left w:type="dxa" w:w="90"/>
              <w:bottom w:type="dxa" w:w="50"/>
              <w:right w:type="dxa" w:w="90"/>
            </w:tcMar>
            <w:vAlign w:val="center"/>
          </w:tcPr>
          <w:p>
            <w:pPr>
              <w:keepNext/>
              <w:jc w:val="left"/>
            </w:pPr>
            <w:r>
              <w:rPr>
                <w:b/>
                <w:bCs/>
                <w:color w:val="1D2C62"/>
                <w:sz w:val="17"/>
                <w:szCs w:val="17"/>
              </w:rPr>
              <w:t xml:space="preserve">RBI; MOSPI</w:t>
            </w:r>
          </w:p>
        </w:tc>
        <w:tc>
          <w:tcPr>
            <w:tcW w:type="dxa" w:w="6212"/>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Risk-free rate (91-day T-bill, 5.52%) and repo rate; GDP and demand mix</w:t>
            </w:r>
          </w:p>
        </w:tc>
      </w:tr>
      <w:tr>
        <w:trPr>
          <w:cantSplit/>
        </w:trPr>
        <w:tc>
          <w:tcPr>
            <w:tcW w:type="dxa" w:w="32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Damodaran (Jan 2026)</w:t>
            </w:r>
          </w:p>
        </w:tc>
        <w:tc>
          <w:tcPr>
            <w:tcW w:type="dxa" w:w="6212"/>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India equity risk premium, 7.08%</w:t>
            </w:r>
          </w:p>
        </w:tc>
      </w:tr>
      <w:tr>
        <w:trPr>
          <w:cantSplit/>
        </w:trPr>
        <w:tc>
          <w:tcPr>
            <w:tcW w:type="dxa" w:w="3200"/>
            <w:shd w:fill="F7F1E3" w:color="auto" w:val="clear"/>
            <w:tcMar>
              <w:top w:type="dxa" w:w="50"/>
              <w:left w:type="dxa" w:w="90"/>
              <w:bottom w:type="dxa" w:w="50"/>
              <w:right w:type="dxa" w:w="90"/>
            </w:tcMar>
            <w:vAlign w:val="center"/>
          </w:tcPr>
          <w:p>
            <w:pPr>
              <w:keepNext/>
              <w:jc w:val="left"/>
            </w:pPr>
            <w:r>
              <w:rPr>
                <w:b/>
                <w:bCs/>
                <w:color w:val="1D2C62"/>
                <w:sz w:val="17"/>
                <w:szCs w:val="17"/>
              </w:rPr>
              <w:t xml:space="preserve">Google News RSS; Zerodha Aftermarket Report</w:t>
            </w:r>
          </w:p>
        </w:tc>
        <w:tc>
          <w:tcPr>
            <w:tcW w:type="dxa" w:w="6212"/>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12 months of headlines; sector distance from moving averages (12 Oct 2026)</w:t>
            </w:r>
          </w:p>
        </w:tc>
      </w:tr>
      <w:tr>
        <w:trPr>
          <w:cantSplit/>
        </w:trPr>
        <w:tc>
          <w:tcPr>
            <w:tcW w:type="dxa" w:w="3200"/>
            <w:shd w:fill="FFFFFF" w:color="auto" w:val="clear"/>
            <w:tcMar>
              <w:top w:type="dxa" w:w="50"/>
              <w:left w:type="dxa" w:w="90"/>
              <w:bottom w:type="dxa" w:w="50"/>
              <w:right w:type="dxa" w:w="90"/>
            </w:tcMar>
            <w:vAlign w:val="center"/>
          </w:tcPr>
          <w:p>
            <w:pPr>
              <w:keepNext/>
              <w:jc w:val="left"/>
            </w:pPr>
            <w:r>
              <w:rPr>
                <w:b/>
                <w:bCs/>
                <w:color w:val="1D2C62"/>
                <w:sz w:val="17"/>
                <w:szCs w:val="17"/>
              </w:rPr>
              <w:t xml:space="preserve">P1, P4, P5: Claude (Anthropic)</w:t>
            </w:r>
          </w:p>
        </w:tc>
        <w:tc>
          <w:tcPr>
            <w:tcW w:type="dxa" w:w="6212"/>
            <w:shd w:fill="FFFFFF"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Ratio extraction; call aspects and guidance; headline framing and bias tags</w:t>
            </w:r>
          </w:p>
        </w:tc>
      </w:tr>
      <w:tr>
        <w:trPr>
          <w:cantSplit/>
        </w:trPr>
        <w:tc>
          <w:tcPr>
            <w:tcW w:type="dxa" w:w="3200"/>
            <w:shd w:fill="F7F1E3" w:color="auto" w:val="clear"/>
            <w:tcMar>
              <w:top w:type="dxa" w:w="50"/>
              <w:left w:type="dxa" w:w="90"/>
              <w:bottom w:type="dxa" w:w="50"/>
              <w:right w:type="dxa" w:w="90"/>
            </w:tcMar>
            <w:vAlign w:val="center"/>
          </w:tcPr>
          <w:p>
            <w:pPr>
              <w:keepNext/>
              <w:jc w:val="left"/>
            </w:pPr>
            <w:r>
              <w:rPr>
                <w:b/>
                <w:bCs/>
                <w:color w:val="1D2C62"/>
                <w:sz w:val="17"/>
                <w:szCs w:val="17"/>
              </w:rPr>
              <w:t xml:space="preserve">P2, P3: FinBERT (ProsusAI/finbert)</w:t>
            </w:r>
          </w:p>
        </w:tc>
        <w:tc>
          <w:tcPr>
            <w:tcW w:type="dxa" w:w="6212"/>
            <w:shd w:fill="F7F1E3" w:color="auto" w:val="clear"/>
            <w:tcMar>
              <w:top w:type="dxa" w:w="50"/>
              <w:left w:type="dxa" w:w="90"/>
              <w:bottom w:type="dxa" w:w="50"/>
              <w:right w:type="dxa" w:w="90"/>
            </w:tcMar>
            <w:vAlign w:val="center"/>
          </w:tcPr>
          <w:p>
            <w:pPr>
              <w:keepNext/>
              <w:jc w:val="left"/>
            </w:pPr>
            <w:r>
              <w:rPr>
                <w:b w:val="false"/>
                <w:bCs w:val="false"/>
                <w:color w:val="1D2C62"/>
                <w:sz w:val="17"/>
                <w:szCs w:val="17"/>
              </w:rPr>
              <w:t xml:space="preserve">Sentence-level tone of calls and headlines</w:t>
            </w:r>
          </w:p>
        </w:tc>
      </w:tr>
    </w:tbl>
    <w:sectPr>
      <w:footerReference w:type="default" r:id="rId6"/>
      <w:pgSz w:w="11906" w:h="16838" w:orient="portrait"/>
      <w:pgMar w:top="1134" w:right="1247" w:bottom="1020" w:left="1247"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590"/>
        <w:sz w:val="16"/>
        <w:szCs w:val="16"/>
      </w:rPr>
      <w:t xml:space="preserve">HUL · Sun Pharma · ICICI Bank · Security Analysis group report · page </w:t>
    </w:r>
    <w:r>
      <w:rPr>
        <w:color w:val="5A65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Calibri" w:cs="Calibri" w:eastAsia="Calibri" w:hAnsi="Calibri"/>
      <w:b/>
      <w:bCs/>
      <w:color w:val="1D2C6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76880ab76b9b24b70985c37ef3fd9d549b66065.png"/><Relationship Id="rId8" Type="http://schemas.openxmlformats.org/officeDocument/2006/relationships/image" Target="media/3002641998da5a0ea15255d1833d6cac1c8a30bf.png"/><Relationship Id="rId9" Type="http://schemas.openxmlformats.org/officeDocument/2006/relationships/image" Target="media/d15bcd6201fd89f3b26536f1d85871727e7f7670.png"/><Relationship Id="rId10" Type="http://schemas.openxmlformats.org/officeDocument/2006/relationships/image" Target="media/671ccf41dc34ca3311a8a865876fb92860fdacd6.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 Price, Portfolio: HUL, Sun Pharma and ICICI Bank</dc:title>
  <dc:creator>TAPMI BBA(H) Semester V</dc:creator>
  <cp:lastModifiedBy>Un-named</cp:lastModifiedBy>
  <cp:revision>1</cp:revision>
  <dcterms:created xsi:type="dcterms:W3CDTF">2026-10-13T13:40:30.482Z</dcterms:created>
  <dcterms:modified xsi:type="dcterms:W3CDTF">2026-10-13T13:40:30.483Z</dcterms:modified>
</cp:coreProperties>
</file>

<file path=docProps/custom.xml><?xml version="1.0" encoding="utf-8"?>
<Properties xmlns="http://schemas.openxmlformats.org/officeDocument/2006/custom-properties" xmlns:vt="http://schemas.openxmlformats.org/officeDocument/2006/docPropsVTypes"/>
</file>