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24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5563.000000000001" w:type="dxa"/>
        <w:jc w:val="center"/>
        <w:tblInd w:w="-70.0" w:type="dxa"/>
        <w:tblLayout w:type="fixed"/>
        <w:tblLook w:val="0000"/>
      </w:tblPr>
      <w:tblGrid>
        <w:gridCol w:w="767"/>
        <w:gridCol w:w="4796"/>
        <w:tblGridChange w:id="0">
          <w:tblGrid>
            <w:gridCol w:w="767"/>
            <w:gridCol w:w="47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530"/>
        <w:gridCol w:w="4500"/>
        <w:gridCol w:w="2016"/>
        <w:tblGridChange w:id="0">
          <w:tblGrid>
            <w:gridCol w:w="1008"/>
            <w:gridCol w:w="1530"/>
            <w:gridCol w:w="4500"/>
            <w:gridCol w:w="201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Revision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Summary of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09/02/16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Initial creation of details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Toro, Matt Maloney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09/06/16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Updated team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Maloney, Matt Toro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9/06/16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Updated Milestone 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Toro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9/17/16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Discussed Basic UML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Alex Huang, Matt Maloney, Alex Huang, Henry Udenze, Xiang 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9/24/16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Did HW questions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Alex Huang, Henry Udenze, Matt Maloney, Matt Toro, Xiang Ao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10/02/16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Finalized R1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Toro, Alex Huang, Matt Maloney, Xiang Ao, Henry Udenze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11/28/2016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Reviewing and updating specifications for R2 and updated meeting dates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Maloney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tabs>
          <w:tab w:val="center" w:pos="4252"/>
          <w:tab w:val="right" w:pos="8504"/>
        </w:tabs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mission is to help HAccelerator fulfil its idealization of an online medical network. We hope to create a well-structured website that can manage coordination between doctors, patients, and nurses.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Toro: Team Coordinator, 914-548-8747,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mat6508@rit.edu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Maloney: Development Coordinator, 610-6189049,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mtm9051@rit.edu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Henry Udenze: Requirements Coordinator, 585-978-1006, chu6483@rit.edu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Xiang Ao: Test Coordinator, 585-623-3344,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xa5865@rit.edu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 Huang: Configuration/QA Coordinator, 585-285-1108, axh5400@rit.edu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Monday, September 2, 2016 - 4:00 --- 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Tuesday, September 6, 2016 - 11:30 -- 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Saturday, September 10, 2016 12:00--Face-to-Face 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Saturday, September 17, 2016 12:00--Face-to-Face 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Saturday, September 24, 2016 12:00--Face-to-Face 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Saturday, October  1, 2016 12:00--Face-to-Face 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Sunday, October 2, 2016 12:00--Face-to-Face 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Saturday, October 15, 2016 11:00--Face-to-Face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Monday, October 24, 2016, 4:00--Face-to-Face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Friday, November 4, 2016, 4:00--Face-to-Face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Saturday, November 5, 2016, 12:00--Face-to-Face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Monday, November 14, 2016, 4:00--Face-to-Face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Friday, November 18, 2016, 4:00--Face-to-Face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Monday, November 28, 2016, 4:00--Face-to-Face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Saturday, December 2, 2016, 12:00--Face-to-Face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b w:val="1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version 3.4.3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Django version 1.9.1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Pycharm version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8"/>
        <w:gridCol w:w="1260"/>
        <w:gridCol w:w="1080"/>
        <w:gridCol w:w="1476"/>
        <w:tblGridChange w:id="0">
          <w:tblGrid>
            <w:gridCol w:w="5238"/>
            <w:gridCol w:w="1260"/>
            <w:gridCol w:w="1080"/>
            <w:gridCol w:w="147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Complete Draft of Initial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9/14/16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Complete Code for 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9/30/16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Testing Phase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10/15/16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Fix Broken or incomplete Code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10/28/16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Second Draft of Code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10/30/16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Add onto existing Code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11/18/16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Testing Phase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11/21/16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Finalize Code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11/25/16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 Release (R2)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11/28/16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Visual w:val="0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Requirements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Visual w:val="0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20" w:line="240" w:lineRule="auto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Rochester Institute of Technology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2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Software Engineering Department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sz w:val="16"/>
        <w:szCs w:val="16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" w:line="24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0" w:line="240" w:lineRule="auto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="240" w:lineRule="auto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mat6508@rit.edu" TargetMode="External"/><Relationship Id="rId6" Type="http://schemas.openxmlformats.org/officeDocument/2006/relationships/hyperlink" Target="mailto:mtm9051@rit.edu" TargetMode="External"/><Relationship Id="rId7" Type="http://schemas.openxmlformats.org/officeDocument/2006/relationships/hyperlink" Target="mailto:xa5865@rit.edu" TargetMode="External"/><Relationship Id="rId8" Type="http://schemas.openxmlformats.org/officeDocument/2006/relationships/header" Target="header1.xml"/></Relationships>
</file>