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EF55CE" w:rsidRDefault="00EF55CE" w:rsidP="00EF55CE">
      <w:pPr>
        <w:pStyle w:val="TableParagraph"/>
        <w:numPr>
          <w:ilvl w:val="0"/>
          <w:numId w:val="1"/>
        </w:numPr>
      </w:pPr>
      <w:r w:rsidRPr="00EF55CE">
        <w:rPr>
          <w:sz w:val="24"/>
        </w:rPr>
        <w:t>Организация и методы сбора информации</w:t>
      </w:r>
      <w:r>
        <w:rPr>
          <w:sz w:val="24"/>
        </w:rPr>
        <w:t>.</w:t>
      </w:r>
      <w:r w:rsidRPr="00EF55CE">
        <w:rPr>
          <w:sz w:val="24"/>
        </w:rPr>
        <w:t xml:space="preserve">  Анализ предметной</w:t>
      </w:r>
      <w:r w:rsidRPr="00EF55CE">
        <w:rPr>
          <w:spacing w:val="-26"/>
          <w:sz w:val="24"/>
        </w:rPr>
        <w:t xml:space="preserve"> </w:t>
      </w:r>
      <w:r w:rsidRPr="00EF55CE">
        <w:rPr>
          <w:sz w:val="24"/>
        </w:rPr>
        <w:t>области. Основные понятия системного и структурного</w:t>
      </w:r>
      <w:r w:rsidRPr="00EF55CE">
        <w:rPr>
          <w:spacing w:val="-3"/>
          <w:sz w:val="24"/>
        </w:rPr>
        <w:t xml:space="preserve"> </w:t>
      </w:r>
      <w:r w:rsidRPr="00EF55CE">
        <w:rPr>
          <w:sz w:val="24"/>
        </w:rPr>
        <w:t>анализа.</w:t>
      </w:r>
    </w:p>
    <w:p w:rsidR="00EF55CE" w:rsidRDefault="00EF55CE" w:rsidP="00EF55CE">
      <w:pPr>
        <w:pStyle w:val="TableParagraph"/>
        <w:rPr>
          <w:sz w:val="24"/>
        </w:rPr>
      </w:pPr>
    </w:p>
    <w:p w:rsidR="00EF55CE" w:rsidRDefault="00EF55CE" w:rsidP="00EF55CE">
      <w:pPr>
        <w:pStyle w:val="TableParagraph"/>
        <w:rPr>
          <w:sz w:val="24"/>
        </w:rPr>
      </w:pPr>
    </w:p>
    <w:p w:rsidR="00EF55CE" w:rsidRDefault="00EF55CE" w:rsidP="00EF55CE">
      <w:pPr>
        <w:pStyle w:val="TableParagraph"/>
        <w:rPr>
          <w:sz w:val="24"/>
        </w:rPr>
      </w:pPr>
      <w:r w:rsidRPr="00EF55CE">
        <w:rPr>
          <w:b/>
          <w:sz w:val="24"/>
        </w:rPr>
        <w:t>Прямые</w:t>
      </w:r>
      <w:r>
        <w:rPr>
          <w:sz w:val="24"/>
        </w:rPr>
        <w:t xml:space="preserve"> – непосредственно   по факту  наличия событий и объектов деятельности, модели.</w:t>
      </w:r>
    </w:p>
    <w:p w:rsidR="00EF55CE" w:rsidRDefault="00EF55CE" w:rsidP="00EF55CE">
      <w:pPr>
        <w:pStyle w:val="TableParagraph"/>
        <w:rPr>
          <w:sz w:val="24"/>
        </w:rPr>
      </w:pPr>
      <w:r w:rsidRPr="00EF55CE">
        <w:rPr>
          <w:b/>
          <w:sz w:val="24"/>
        </w:rPr>
        <w:t>Косвенные</w:t>
      </w:r>
      <w:r>
        <w:rPr>
          <w:sz w:val="24"/>
        </w:rPr>
        <w:t xml:space="preserve"> – посредством инструментов и инструментов позволяющих  сформировать знания наличия  деятельности, объекта.</w:t>
      </w:r>
    </w:p>
    <w:p w:rsidR="00EF55CE" w:rsidRDefault="00EF55CE" w:rsidP="00EF55CE">
      <w:pPr>
        <w:pStyle w:val="TableParagraph"/>
        <w:ind w:left="948"/>
        <w:rPr>
          <w:sz w:val="24"/>
        </w:rPr>
      </w:pPr>
    </w:p>
    <w:p w:rsidR="00EF55CE" w:rsidRDefault="00EF55CE" w:rsidP="00EF55CE">
      <w:pPr>
        <w:pStyle w:val="TableParagraph"/>
        <w:ind w:left="948"/>
        <w:rPr>
          <w:rFonts w:ascii="Arial" w:hAnsi="Arial" w:cs="Arial"/>
          <w:color w:val="333333"/>
          <w:sz w:val="16"/>
          <w:szCs w:val="16"/>
          <w:shd w:val="clear" w:color="auto" w:fill="FFFFFF"/>
        </w:rPr>
      </w:pPr>
      <w:r>
        <w:rPr>
          <w:rStyle w:val="a3"/>
          <w:rFonts w:ascii="Arial" w:hAnsi="Arial" w:cs="Arial"/>
          <w:color w:val="333333"/>
          <w:sz w:val="16"/>
          <w:szCs w:val="16"/>
          <w:shd w:val="clear" w:color="auto" w:fill="FFFFFF"/>
        </w:rPr>
        <w:t>Организация сбора информации в исследованиях</w:t>
      </w:r>
      <w:r>
        <w:rPr>
          <w:rFonts w:ascii="Arial" w:hAnsi="Arial" w:cs="Arial"/>
          <w:color w:val="333333"/>
          <w:sz w:val="16"/>
          <w:szCs w:val="16"/>
          <w:shd w:val="clear" w:color="auto" w:fill="FFFFFF"/>
        </w:rPr>
        <w:t> включает планирование, выбор методов, использование инструментов и анализ данных. Цель — получить данные для ответа на конкретные исследовательские вопросы, проверки гипотез или изучения явлений. </w:t>
      </w:r>
    </w:p>
    <w:p w:rsidR="00EF55CE" w:rsidRDefault="00EF55CE" w:rsidP="00EF55CE">
      <w:pPr>
        <w:pStyle w:val="TableParagraph"/>
        <w:ind w:left="948"/>
      </w:pPr>
    </w:p>
    <w:p w:rsidR="00EF55CE" w:rsidRPr="00EF55CE" w:rsidRDefault="00EF55CE" w:rsidP="00EF55CE">
      <w:pPr>
        <w:shd w:val="clear" w:color="auto" w:fill="FFFFFF"/>
        <w:spacing w:before="240" w:after="80" w:line="240" w:lineRule="atLeast"/>
        <w:outlineLvl w:val="1"/>
        <w:rPr>
          <w:rFonts w:ascii="Arial" w:eastAsia="Times New Roman" w:hAnsi="Arial" w:cs="Arial"/>
          <w:b/>
          <w:bCs/>
          <w:color w:val="333333"/>
          <w:sz w:val="20"/>
          <w:szCs w:val="20"/>
        </w:rPr>
      </w:pPr>
      <w:r w:rsidRPr="00EF55CE">
        <w:rPr>
          <w:rFonts w:ascii="Arial" w:eastAsia="Times New Roman" w:hAnsi="Arial" w:cs="Arial"/>
          <w:b/>
          <w:bCs/>
          <w:color w:val="333333"/>
          <w:sz w:val="20"/>
          <w:szCs w:val="20"/>
        </w:rPr>
        <w:t>Организация</w:t>
      </w:r>
    </w:p>
    <w:p w:rsidR="00EF55CE" w:rsidRPr="00EF55CE" w:rsidRDefault="00EF55CE" w:rsidP="00EF55CE">
      <w:pPr>
        <w:shd w:val="clear" w:color="auto" w:fill="FFFFFF"/>
        <w:spacing w:after="80" w:line="220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EF55CE">
        <w:rPr>
          <w:rFonts w:ascii="Arial" w:eastAsia="Times New Roman" w:hAnsi="Arial" w:cs="Arial"/>
          <w:color w:val="333333"/>
          <w:sz w:val="16"/>
          <w:szCs w:val="16"/>
        </w:rPr>
        <w:t>Некоторые этапы организации сбора информации:</w:t>
      </w:r>
    </w:p>
    <w:p w:rsidR="00EF55CE" w:rsidRPr="00EF55CE" w:rsidRDefault="00EF55CE" w:rsidP="00EF55CE">
      <w:pPr>
        <w:numPr>
          <w:ilvl w:val="0"/>
          <w:numId w:val="2"/>
        </w:numPr>
        <w:shd w:val="clear" w:color="auto" w:fill="FFFFFF"/>
        <w:spacing w:before="80" w:after="80" w:line="220" w:lineRule="atLeast"/>
        <w:ind w:left="0"/>
        <w:rPr>
          <w:rFonts w:ascii="Arial" w:eastAsia="Times New Roman" w:hAnsi="Arial" w:cs="Arial"/>
          <w:color w:val="333333"/>
          <w:sz w:val="16"/>
          <w:szCs w:val="16"/>
        </w:rPr>
      </w:pPr>
      <w:r w:rsidRPr="00EF55CE">
        <w:rPr>
          <w:rFonts w:ascii="Arial" w:eastAsia="Times New Roman" w:hAnsi="Arial" w:cs="Arial"/>
          <w:b/>
          <w:bCs/>
          <w:color w:val="333333"/>
          <w:sz w:val="16"/>
        </w:rPr>
        <w:t>Определение цели</w:t>
      </w:r>
      <w:r w:rsidRPr="00EF55CE">
        <w:rPr>
          <w:rFonts w:ascii="Arial" w:eastAsia="Times New Roman" w:hAnsi="Arial" w:cs="Arial"/>
          <w:color w:val="333333"/>
          <w:sz w:val="16"/>
          <w:szCs w:val="16"/>
        </w:rPr>
        <w:t> — чёткая формулировка того, что необходимо узнать в результате исследования.</w:t>
      </w:r>
    </w:p>
    <w:p w:rsidR="00EF55CE" w:rsidRPr="00EF55CE" w:rsidRDefault="00EF55CE" w:rsidP="00EF55CE">
      <w:pPr>
        <w:numPr>
          <w:ilvl w:val="0"/>
          <w:numId w:val="2"/>
        </w:numPr>
        <w:shd w:val="clear" w:color="auto" w:fill="FFFFFF"/>
        <w:spacing w:before="100" w:beforeAutospacing="1" w:after="80" w:line="220" w:lineRule="atLeast"/>
        <w:ind w:left="0"/>
        <w:rPr>
          <w:rFonts w:ascii="Arial" w:eastAsia="Times New Roman" w:hAnsi="Arial" w:cs="Arial"/>
          <w:color w:val="333333"/>
          <w:sz w:val="16"/>
          <w:szCs w:val="16"/>
        </w:rPr>
      </w:pPr>
      <w:r w:rsidRPr="00EF55CE">
        <w:rPr>
          <w:rFonts w:ascii="Arial" w:eastAsia="Times New Roman" w:hAnsi="Arial" w:cs="Arial"/>
          <w:b/>
          <w:bCs/>
          <w:color w:val="333333"/>
          <w:sz w:val="16"/>
        </w:rPr>
        <w:t>Выбор источников информации</w:t>
      </w:r>
      <w:r w:rsidRPr="00EF55CE">
        <w:rPr>
          <w:rFonts w:ascii="Arial" w:eastAsia="Times New Roman" w:hAnsi="Arial" w:cs="Arial"/>
          <w:color w:val="333333"/>
          <w:sz w:val="16"/>
          <w:szCs w:val="16"/>
        </w:rPr>
        <w:t> — это могут быть документальные источники, опрос людей или открытые ресурсы в интернете.</w:t>
      </w:r>
    </w:p>
    <w:p w:rsidR="00EF55CE" w:rsidRPr="00EF55CE" w:rsidRDefault="00EF55CE" w:rsidP="00EF55CE">
      <w:pPr>
        <w:numPr>
          <w:ilvl w:val="0"/>
          <w:numId w:val="2"/>
        </w:numPr>
        <w:shd w:val="clear" w:color="auto" w:fill="FFFFFF"/>
        <w:spacing w:before="100" w:beforeAutospacing="1" w:after="80" w:line="220" w:lineRule="atLeast"/>
        <w:ind w:left="0"/>
        <w:rPr>
          <w:rFonts w:ascii="Arial" w:eastAsia="Times New Roman" w:hAnsi="Arial" w:cs="Arial"/>
          <w:color w:val="333333"/>
          <w:sz w:val="16"/>
          <w:szCs w:val="16"/>
        </w:rPr>
      </w:pPr>
      <w:r w:rsidRPr="00EF55CE">
        <w:rPr>
          <w:rFonts w:ascii="Arial" w:eastAsia="Times New Roman" w:hAnsi="Arial" w:cs="Arial"/>
          <w:b/>
          <w:bCs/>
          <w:color w:val="333333"/>
          <w:sz w:val="16"/>
        </w:rPr>
        <w:t>Планирование</w:t>
      </w:r>
      <w:r w:rsidRPr="00EF55CE">
        <w:rPr>
          <w:rFonts w:ascii="Arial" w:eastAsia="Times New Roman" w:hAnsi="Arial" w:cs="Arial"/>
          <w:color w:val="333333"/>
          <w:sz w:val="16"/>
          <w:szCs w:val="16"/>
        </w:rPr>
        <w:t> — определение, кто будет собирать данные, какими методами и в какие сроки.</w:t>
      </w:r>
    </w:p>
    <w:p w:rsidR="00EF55CE" w:rsidRPr="00EF55CE" w:rsidRDefault="00EF55CE" w:rsidP="00EF55CE">
      <w:pPr>
        <w:numPr>
          <w:ilvl w:val="0"/>
          <w:numId w:val="2"/>
        </w:numPr>
        <w:shd w:val="clear" w:color="auto" w:fill="FFFFFF"/>
        <w:spacing w:before="100" w:beforeAutospacing="1" w:after="160" w:line="220" w:lineRule="atLeast"/>
        <w:ind w:left="0"/>
        <w:rPr>
          <w:rFonts w:ascii="Arial" w:eastAsia="Times New Roman" w:hAnsi="Arial" w:cs="Arial"/>
          <w:color w:val="333333"/>
          <w:sz w:val="16"/>
          <w:szCs w:val="16"/>
        </w:rPr>
      </w:pPr>
      <w:r w:rsidRPr="00EF55CE">
        <w:rPr>
          <w:rFonts w:ascii="Arial" w:eastAsia="Times New Roman" w:hAnsi="Arial" w:cs="Arial"/>
          <w:b/>
          <w:bCs/>
          <w:color w:val="333333"/>
          <w:sz w:val="16"/>
        </w:rPr>
        <w:t>Фиксация и надёжное хранение полученных сведений</w:t>
      </w:r>
      <w:r w:rsidRPr="00EF55CE">
        <w:rPr>
          <w:rFonts w:ascii="Arial" w:eastAsia="Times New Roman" w:hAnsi="Arial" w:cs="Arial"/>
          <w:color w:val="333333"/>
          <w:sz w:val="16"/>
          <w:szCs w:val="16"/>
        </w:rPr>
        <w:t> — информацию структурируют и сохраняют в виде записей, таблиц или баз данных, чтобы обеспечить лёгкий доступ для последующего анализа.</w:t>
      </w:r>
    </w:p>
    <w:p w:rsidR="00EF55CE" w:rsidRDefault="00EF55CE" w:rsidP="00EF55CE">
      <w:pPr>
        <w:pStyle w:val="TableParagraph"/>
        <w:ind w:left="948"/>
      </w:pPr>
    </w:p>
    <w:p w:rsidR="00EF55CE" w:rsidRPr="00EF55CE" w:rsidRDefault="00EF55CE" w:rsidP="00EF55CE">
      <w:pPr>
        <w:shd w:val="clear" w:color="auto" w:fill="FFFFFF"/>
        <w:spacing w:before="240" w:after="80" w:line="240" w:lineRule="atLeast"/>
        <w:outlineLvl w:val="1"/>
        <w:rPr>
          <w:rFonts w:ascii="Arial" w:eastAsia="Times New Roman" w:hAnsi="Arial" w:cs="Arial"/>
          <w:b/>
          <w:bCs/>
          <w:color w:val="333333"/>
          <w:sz w:val="20"/>
          <w:szCs w:val="20"/>
        </w:rPr>
      </w:pPr>
      <w:r w:rsidRPr="00EF55CE">
        <w:rPr>
          <w:rFonts w:ascii="Arial" w:eastAsia="Times New Roman" w:hAnsi="Arial" w:cs="Arial"/>
          <w:b/>
          <w:bCs/>
          <w:color w:val="333333"/>
          <w:sz w:val="20"/>
          <w:szCs w:val="20"/>
        </w:rPr>
        <w:t>Методы</w:t>
      </w:r>
    </w:p>
    <w:p w:rsidR="00EF55CE" w:rsidRPr="00EF55CE" w:rsidRDefault="00EF55CE" w:rsidP="00EF55CE">
      <w:pPr>
        <w:shd w:val="clear" w:color="auto" w:fill="FFFFFF"/>
        <w:spacing w:after="80" w:line="220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EF55CE">
        <w:rPr>
          <w:rFonts w:ascii="Arial" w:eastAsia="Times New Roman" w:hAnsi="Arial" w:cs="Arial"/>
          <w:color w:val="333333"/>
          <w:sz w:val="16"/>
          <w:szCs w:val="16"/>
        </w:rPr>
        <w:t xml:space="preserve">Методы сбора информации делятся </w:t>
      </w:r>
      <w:proofErr w:type="gramStart"/>
      <w:r w:rsidRPr="00EF55CE">
        <w:rPr>
          <w:rFonts w:ascii="Arial" w:eastAsia="Times New Roman" w:hAnsi="Arial" w:cs="Arial"/>
          <w:color w:val="333333"/>
          <w:sz w:val="16"/>
          <w:szCs w:val="16"/>
        </w:rPr>
        <w:t>на</w:t>
      </w:r>
      <w:proofErr w:type="gramEnd"/>
      <w:r w:rsidRPr="00EF55CE">
        <w:rPr>
          <w:rFonts w:ascii="Arial" w:eastAsia="Times New Roman" w:hAnsi="Arial" w:cs="Arial"/>
          <w:color w:val="333333"/>
          <w:sz w:val="16"/>
          <w:szCs w:val="16"/>
        </w:rPr>
        <w:t> </w:t>
      </w:r>
      <w:r w:rsidRPr="00EF55CE">
        <w:rPr>
          <w:rFonts w:ascii="Arial" w:eastAsia="Times New Roman" w:hAnsi="Arial" w:cs="Arial"/>
          <w:b/>
          <w:bCs/>
          <w:color w:val="333333"/>
          <w:sz w:val="16"/>
        </w:rPr>
        <w:t>количественные</w:t>
      </w:r>
      <w:r w:rsidRPr="00EF55CE">
        <w:rPr>
          <w:rFonts w:ascii="Arial" w:eastAsia="Times New Roman" w:hAnsi="Arial" w:cs="Arial"/>
          <w:color w:val="333333"/>
          <w:sz w:val="16"/>
          <w:szCs w:val="16"/>
        </w:rPr>
        <w:t> и </w:t>
      </w:r>
      <w:r w:rsidRPr="00EF55CE">
        <w:rPr>
          <w:rFonts w:ascii="Arial" w:eastAsia="Times New Roman" w:hAnsi="Arial" w:cs="Arial"/>
          <w:b/>
          <w:bCs/>
          <w:color w:val="333333"/>
          <w:sz w:val="16"/>
        </w:rPr>
        <w:t>качественные</w:t>
      </w:r>
      <w:r w:rsidRPr="00EF55CE">
        <w:rPr>
          <w:rFonts w:ascii="Arial" w:eastAsia="Times New Roman" w:hAnsi="Arial" w:cs="Arial"/>
          <w:color w:val="333333"/>
          <w:sz w:val="16"/>
          <w:szCs w:val="16"/>
        </w:rPr>
        <w:t>: </w:t>
      </w:r>
      <w:proofErr w:type="spellStart"/>
      <w:r w:rsidRPr="00EF55CE">
        <w:rPr>
          <w:rFonts w:ascii="Arial" w:eastAsia="Times New Roman" w:hAnsi="Arial" w:cs="Arial"/>
          <w:color w:val="333333"/>
          <w:sz w:val="16"/>
          <w:szCs w:val="16"/>
        </w:rPr>
        <w:fldChar w:fldCharType="begin"/>
      </w:r>
      <w:r w:rsidRPr="00EF55CE">
        <w:rPr>
          <w:rFonts w:ascii="Arial" w:eastAsia="Times New Roman" w:hAnsi="Arial" w:cs="Arial"/>
          <w:color w:val="333333"/>
          <w:sz w:val="16"/>
          <w:szCs w:val="16"/>
        </w:rPr>
        <w:instrText xml:space="preserve"> HYPERLINK "https://sky.pro/wiki/python/sbor-i-obrabotka-dannyh-dlya-analiza/" \t "_blank" </w:instrText>
      </w:r>
      <w:r w:rsidRPr="00EF55CE">
        <w:rPr>
          <w:rFonts w:ascii="Arial" w:eastAsia="Times New Roman" w:hAnsi="Arial" w:cs="Arial"/>
          <w:color w:val="333333"/>
          <w:sz w:val="16"/>
          <w:szCs w:val="16"/>
        </w:rPr>
        <w:fldChar w:fldCharType="separate"/>
      </w:r>
      <w:r w:rsidRPr="00EF55CE">
        <w:rPr>
          <w:rFonts w:ascii="Arial" w:eastAsia="Times New Roman" w:hAnsi="Arial" w:cs="Arial"/>
          <w:color w:val="0000FF"/>
          <w:sz w:val="12"/>
        </w:rPr>
        <w:t>sky.pro</w:t>
      </w:r>
      <w:r w:rsidRPr="00EF55CE">
        <w:rPr>
          <w:rFonts w:ascii="Arial" w:eastAsia="Times New Roman" w:hAnsi="Arial" w:cs="Arial"/>
          <w:color w:val="333333"/>
          <w:sz w:val="16"/>
          <w:szCs w:val="16"/>
        </w:rPr>
        <w:fldChar w:fldCharType="end"/>
      </w:r>
      <w:hyperlink r:id="rId5" w:tgtFrame="_blank" w:history="1">
        <w:r w:rsidRPr="00EF55CE">
          <w:rPr>
            <w:rFonts w:ascii="Arial" w:eastAsia="Times New Roman" w:hAnsi="Arial" w:cs="Arial"/>
            <w:color w:val="0000FF"/>
            <w:sz w:val="12"/>
          </w:rPr>
          <w:t>Skyeng.ru</w:t>
        </w:r>
        <w:proofErr w:type="spellEnd"/>
      </w:hyperlink>
    </w:p>
    <w:p w:rsidR="00EF55CE" w:rsidRPr="00EF55CE" w:rsidRDefault="00EF55CE" w:rsidP="00EF55CE">
      <w:pPr>
        <w:numPr>
          <w:ilvl w:val="0"/>
          <w:numId w:val="3"/>
        </w:numPr>
        <w:shd w:val="clear" w:color="auto" w:fill="FFFFFF"/>
        <w:spacing w:before="80" w:after="80" w:line="220" w:lineRule="atLeast"/>
        <w:ind w:left="0"/>
        <w:rPr>
          <w:rFonts w:ascii="Arial" w:eastAsia="Times New Roman" w:hAnsi="Arial" w:cs="Arial"/>
          <w:color w:val="333333"/>
          <w:sz w:val="16"/>
          <w:szCs w:val="16"/>
        </w:rPr>
      </w:pPr>
      <w:r w:rsidRPr="00EF55CE">
        <w:rPr>
          <w:rFonts w:ascii="Arial" w:eastAsia="Times New Roman" w:hAnsi="Arial" w:cs="Arial"/>
          <w:b/>
          <w:bCs/>
          <w:color w:val="333333"/>
          <w:sz w:val="16"/>
        </w:rPr>
        <w:t>Количественные</w:t>
      </w:r>
      <w:r w:rsidRPr="00EF55CE">
        <w:rPr>
          <w:rFonts w:ascii="Arial" w:eastAsia="Times New Roman" w:hAnsi="Arial" w:cs="Arial"/>
          <w:color w:val="333333"/>
          <w:sz w:val="16"/>
          <w:szCs w:val="16"/>
        </w:rPr>
        <w:t> — позволяют получить числовые данные, которые можно измерить и статистически проанализировать. Подходят для исследований, где нужно выявить общие тенденции и закономерности.</w:t>
      </w:r>
    </w:p>
    <w:p w:rsidR="00EF55CE" w:rsidRPr="00EF55CE" w:rsidRDefault="00EF55CE" w:rsidP="00EF55CE">
      <w:pPr>
        <w:numPr>
          <w:ilvl w:val="0"/>
          <w:numId w:val="3"/>
        </w:numPr>
        <w:shd w:val="clear" w:color="auto" w:fill="FFFFFF"/>
        <w:spacing w:before="100" w:beforeAutospacing="1" w:after="160" w:line="220" w:lineRule="atLeast"/>
        <w:ind w:left="0"/>
        <w:rPr>
          <w:rFonts w:ascii="Arial" w:eastAsia="Times New Roman" w:hAnsi="Arial" w:cs="Arial"/>
          <w:color w:val="333333"/>
          <w:sz w:val="16"/>
          <w:szCs w:val="16"/>
        </w:rPr>
      </w:pPr>
      <w:proofErr w:type="gramStart"/>
      <w:r w:rsidRPr="00EF55CE">
        <w:rPr>
          <w:rFonts w:ascii="Arial" w:eastAsia="Times New Roman" w:hAnsi="Arial" w:cs="Arial"/>
          <w:b/>
          <w:bCs/>
          <w:color w:val="333333"/>
          <w:sz w:val="16"/>
        </w:rPr>
        <w:t>Качественные</w:t>
      </w:r>
      <w:proofErr w:type="gramEnd"/>
      <w:r w:rsidRPr="00EF55CE">
        <w:rPr>
          <w:rFonts w:ascii="Arial" w:eastAsia="Times New Roman" w:hAnsi="Arial" w:cs="Arial"/>
          <w:color w:val="333333"/>
          <w:sz w:val="16"/>
          <w:szCs w:val="16"/>
        </w:rPr>
        <w:t> — направлены на глубокое понимание процессов, мотивов и контекста. Дают меньше числовых данных, но помогают понять «почему» и «как» происходят изучаемые явления.</w:t>
      </w:r>
    </w:p>
    <w:p w:rsidR="00EF55CE" w:rsidRDefault="00EF55CE" w:rsidP="00EF55CE">
      <w:pPr>
        <w:pStyle w:val="TableParagraph"/>
        <w:ind w:left="948"/>
      </w:pPr>
    </w:p>
    <w:p w:rsidR="00EF55CE" w:rsidRPr="00EF55CE" w:rsidRDefault="00EF55CE" w:rsidP="00EF55CE">
      <w:pPr>
        <w:shd w:val="clear" w:color="auto" w:fill="FFFFFF"/>
        <w:spacing w:before="240" w:after="80" w:line="240" w:lineRule="atLeast"/>
        <w:outlineLvl w:val="1"/>
        <w:rPr>
          <w:rFonts w:ascii="Arial" w:eastAsia="Times New Roman" w:hAnsi="Arial" w:cs="Arial"/>
          <w:b/>
          <w:bCs/>
          <w:color w:val="333333"/>
          <w:sz w:val="20"/>
          <w:szCs w:val="20"/>
        </w:rPr>
      </w:pPr>
      <w:r w:rsidRPr="00EF55CE">
        <w:rPr>
          <w:rFonts w:ascii="Arial" w:eastAsia="Times New Roman" w:hAnsi="Arial" w:cs="Arial"/>
          <w:b/>
          <w:bCs/>
          <w:color w:val="333333"/>
          <w:sz w:val="20"/>
          <w:szCs w:val="20"/>
        </w:rPr>
        <w:t>Инструменты</w:t>
      </w:r>
    </w:p>
    <w:p w:rsidR="00EF55CE" w:rsidRPr="00EF55CE" w:rsidRDefault="00EF55CE" w:rsidP="00EF55CE">
      <w:pPr>
        <w:shd w:val="clear" w:color="auto" w:fill="FFFFFF"/>
        <w:spacing w:after="80" w:line="220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EF55CE">
        <w:rPr>
          <w:rFonts w:ascii="Arial" w:eastAsia="Times New Roman" w:hAnsi="Arial" w:cs="Arial"/>
          <w:color w:val="333333"/>
          <w:sz w:val="16"/>
          <w:szCs w:val="16"/>
        </w:rPr>
        <w:t>Для сбора информации разрабатывают специальные инструменты, например:</w:t>
      </w:r>
    </w:p>
    <w:p w:rsidR="00EF55CE" w:rsidRPr="00EF55CE" w:rsidRDefault="00EF55CE" w:rsidP="00EF55CE">
      <w:pPr>
        <w:numPr>
          <w:ilvl w:val="0"/>
          <w:numId w:val="4"/>
        </w:numPr>
        <w:shd w:val="clear" w:color="auto" w:fill="FFFFFF"/>
        <w:spacing w:before="80" w:after="80" w:line="220" w:lineRule="atLeast"/>
        <w:ind w:left="0"/>
        <w:rPr>
          <w:rFonts w:ascii="Arial" w:eastAsia="Times New Roman" w:hAnsi="Arial" w:cs="Arial"/>
          <w:color w:val="333333"/>
          <w:sz w:val="16"/>
          <w:szCs w:val="16"/>
        </w:rPr>
      </w:pPr>
      <w:proofErr w:type="spellStart"/>
      <w:r w:rsidRPr="00EF55CE">
        <w:rPr>
          <w:rFonts w:ascii="Arial" w:eastAsia="Times New Roman" w:hAnsi="Arial" w:cs="Arial"/>
          <w:b/>
          <w:bCs/>
          <w:color w:val="333333"/>
          <w:sz w:val="16"/>
        </w:rPr>
        <w:t>Опросники</w:t>
      </w:r>
      <w:proofErr w:type="spellEnd"/>
      <w:r w:rsidRPr="00EF55CE">
        <w:rPr>
          <w:rFonts w:ascii="Arial" w:eastAsia="Times New Roman" w:hAnsi="Arial" w:cs="Arial"/>
          <w:color w:val="333333"/>
          <w:sz w:val="16"/>
          <w:szCs w:val="16"/>
        </w:rPr>
        <w:t> — анкеты с закрытыми и открытыми вопросами.</w:t>
      </w:r>
    </w:p>
    <w:p w:rsidR="00EF55CE" w:rsidRPr="00EF55CE" w:rsidRDefault="00EF55CE" w:rsidP="00EF55CE">
      <w:pPr>
        <w:numPr>
          <w:ilvl w:val="0"/>
          <w:numId w:val="4"/>
        </w:numPr>
        <w:shd w:val="clear" w:color="auto" w:fill="FFFFFF"/>
        <w:spacing w:before="100" w:beforeAutospacing="1" w:after="80" w:line="220" w:lineRule="atLeast"/>
        <w:ind w:left="0"/>
        <w:rPr>
          <w:rFonts w:ascii="Arial" w:eastAsia="Times New Roman" w:hAnsi="Arial" w:cs="Arial"/>
          <w:color w:val="333333"/>
          <w:sz w:val="16"/>
          <w:szCs w:val="16"/>
        </w:rPr>
      </w:pPr>
      <w:r w:rsidRPr="00EF55CE">
        <w:rPr>
          <w:rFonts w:ascii="Arial" w:eastAsia="Times New Roman" w:hAnsi="Arial" w:cs="Arial"/>
          <w:b/>
          <w:bCs/>
          <w:color w:val="333333"/>
          <w:sz w:val="16"/>
        </w:rPr>
        <w:t>Интервью-гиды</w:t>
      </w:r>
      <w:r w:rsidRPr="00EF55CE">
        <w:rPr>
          <w:rFonts w:ascii="Arial" w:eastAsia="Times New Roman" w:hAnsi="Arial" w:cs="Arial"/>
          <w:color w:val="333333"/>
          <w:sz w:val="16"/>
          <w:szCs w:val="16"/>
        </w:rPr>
        <w:t> — списки вопросов для проведения интервью.</w:t>
      </w:r>
    </w:p>
    <w:p w:rsidR="00EF55CE" w:rsidRPr="00EF55CE" w:rsidRDefault="00EF55CE" w:rsidP="00EF55CE">
      <w:pPr>
        <w:numPr>
          <w:ilvl w:val="0"/>
          <w:numId w:val="4"/>
        </w:numPr>
        <w:shd w:val="clear" w:color="auto" w:fill="FFFFFF"/>
        <w:spacing w:before="100" w:beforeAutospacing="1" w:after="160" w:line="220" w:lineRule="atLeast"/>
        <w:ind w:left="0"/>
        <w:rPr>
          <w:rFonts w:ascii="Arial" w:eastAsia="Times New Roman" w:hAnsi="Arial" w:cs="Arial"/>
          <w:color w:val="333333"/>
          <w:sz w:val="16"/>
          <w:szCs w:val="16"/>
        </w:rPr>
      </w:pPr>
      <w:proofErr w:type="spellStart"/>
      <w:r w:rsidRPr="00EF55CE">
        <w:rPr>
          <w:rFonts w:ascii="Arial" w:eastAsia="Times New Roman" w:hAnsi="Arial" w:cs="Arial"/>
          <w:b/>
          <w:bCs/>
          <w:color w:val="333333"/>
          <w:sz w:val="16"/>
        </w:rPr>
        <w:t>Онлайн-опросы</w:t>
      </w:r>
      <w:proofErr w:type="spellEnd"/>
      <w:r w:rsidRPr="00EF55CE">
        <w:rPr>
          <w:rFonts w:ascii="Arial" w:eastAsia="Times New Roman" w:hAnsi="Arial" w:cs="Arial"/>
          <w:color w:val="333333"/>
          <w:sz w:val="16"/>
          <w:szCs w:val="16"/>
        </w:rPr>
        <w:t xml:space="preserve"> — проводятся через платформы вроде </w:t>
      </w:r>
      <w:proofErr w:type="spellStart"/>
      <w:r w:rsidRPr="00EF55CE">
        <w:rPr>
          <w:rFonts w:ascii="Arial" w:eastAsia="Times New Roman" w:hAnsi="Arial" w:cs="Arial"/>
          <w:color w:val="333333"/>
          <w:sz w:val="16"/>
          <w:szCs w:val="16"/>
        </w:rPr>
        <w:t>Google</w:t>
      </w:r>
      <w:proofErr w:type="spellEnd"/>
      <w:r w:rsidRPr="00EF55CE">
        <w:rPr>
          <w:rFonts w:ascii="Arial" w:eastAsia="Times New Roman" w:hAnsi="Arial" w:cs="Arial"/>
          <w:color w:val="333333"/>
          <w:sz w:val="16"/>
          <w:szCs w:val="16"/>
        </w:rPr>
        <w:t xml:space="preserve"> </w:t>
      </w:r>
      <w:proofErr w:type="spellStart"/>
      <w:r w:rsidRPr="00EF55CE">
        <w:rPr>
          <w:rFonts w:ascii="Arial" w:eastAsia="Times New Roman" w:hAnsi="Arial" w:cs="Arial"/>
          <w:color w:val="333333"/>
          <w:sz w:val="16"/>
          <w:szCs w:val="16"/>
        </w:rPr>
        <w:t>Forms</w:t>
      </w:r>
      <w:proofErr w:type="spellEnd"/>
      <w:r w:rsidRPr="00EF55CE">
        <w:rPr>
          <w:rFonts w:ascii="Arial" w:eastAsia="Times New Roman" w:hAnsi="Arial" w:cs="Arial"/>
          <w:color w:val="333333"/>
          <w:sz w:val="16"/>
          <w:szCs w:val="16"/>
        </w:rPr>
        <w:t xml:space="preserve"> или в социальных сетях, позволяют быстро охватить широкую и географически распределённую аудиторию.</w:t>
      </w:r>
    </w:p>
    <w:p w:rsidR="00EF55CE" w:rsidRDefault="00EF55CE" w:rsidP="00EF55CE">
      <w:pPr>
        <w:pStyle w:val="TableParagraph"/>
        <w:ind w:left="948"/>
      </w:pPr>
    </w:p>
    <w:p w:rsidR="00EF55CE" w:rsidRPr="00EF55CE" w:rsidRDefault="00EF55CE" w:rsidP="00EF55CE">
      <w:pPr>
        <w:shd w:val="clear" w:color="auto" w:fill="FFFFFF"/>
        <w:spacing w:before="240" w:after="80" w:line="240" w:lineRule="atLeast"/>
        <w:outlineLvl w:val="1"/>
        <w:rPr>
          <w:rFonts w:ascii="Arial" w:eastAsia="Times New Roman" w:hAnsi="Arial" w:cs="Arial"/>
          <w:b/>
          <w:bCs/>
          <w:color w:val="333333"/>
          <w:sz w:val="20"/>
          <w:szCs w:val="20"/>
        </w:rPr>
      </w:pPr>
      <w:r w:rsidRPr="00EF55CE">
        <w:rPr>
          <w:rFonts w:ascii="Arial" w:eastAsia="Times New Roman" w:hAnsi="Arial" w:cs="Arial"/>
          <w:b/>
          <w:bCs/>
          <w:color w:val="333333"/>
          <w:sz w:val="20"/>
          <w:szCs w:val="20"/>
        </w:rPr>
        <w:t>Анализ</w:t>
      </w:r>
    </w:p>
    <w:p w:rsidR="00EF55CE" w:rsidRPr="00EF55CE" w:rsidRDefault="00EF55CE" w:rsidP="00EF55CE">
      <w:pPr>
        <w:shd w:val="clear" w:color="auto" w:fill="FFFFFF"/>
        <w:spacing w:after="80" w:line="220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EF55CE">
        <w:rPr>
          <w:rFonts w:ascii="Arial" w:eastAsia="Times New Roman" w:hAnsi="Arial" w:cs="Arial"/>
          <w:color w:val="333333"/>
          <w:sz w:val="16"/>
          <w:szCs w:val="16"/>
        </w:rPr>
        <w:t>После сбора данных исследователь их систематизирует и анализирует. Для этого могут использоваться: </w:t>
      </w:r>
      <w:hyperlink r:id="rId6" w:tgtFrame="_blank" w:history="1">
        <w:r w:rsidRPr="00EF55CE">
          <w:rPr>
            <w:rFonts w:ascii="Arial" w:eastAsia="Times New Roman" w:hAnsi="Arial" w:cs="Arial"/>
            <w:color w:val="0000FF"/>
            <w:sz w:val="12"/>
          </w:rPr>
          <w:t>Work5.ru</w:t>
        </w:r>
      </w:hyperlink>
    </w:p>
    <w:p w:rsidR="00EF55CE" w:rsidRPr="00EF55CE" w:rsidRDefault="00EF55CE" w:rsidP="00EF55CE">
      <w:pPr>
        <w:numPr>
          <w:ilvl w:val="0"/>
          <w:numId w:val="5"/>
        </w:numPr>
        <w:shd w:val="clear" w:color="auto" w:fill="FFFFFF"/>
        <w:spacing w:before="80" w:after="80" w:line="220" w:lineRule="atLeast"/>
        <w:ind w:left="0"/>
        <w:rPr>
          <w:rFonts w:ascii="Arial" w:eastAsia="Times New Roman" w:hAnsi="Arial" w:cs="Arial"/>
          <w:color w:val="333333"/>
          <w:sz w:val="16"/>
          <w:szCs w:val="16"/>
        </w:rPr>
      </w:pPr>
      <w:r w:rsidRPr="00EF55CE">
        <w:rPr>
          <w:rFonts w:ascii="Arial" w:eastAsia="Times New Roman" w:hAnsi="Arial" w:cs="Arial"/>
          <w:b/>
          <w:bCs/>
          <w:color w:val="333333"/>
          <w:sz w:val="16"/>
        </w:rPr>
        <w:t>Статистические методы</w:t>
      </w:r>
      <w:r w:rsidRPr="00EF55CE">
        <w:rPr>
          <w:rFonts w:ascii="Arial" w:eastAsia="Times New Roman" w:hAnsi="Arial" w:cs="Arial"/>
          <w:color w:val="333333"/>
          <w:sz w:val="16"/>
          <w:szCs w:val="16"/>
        </w:rPr>
        <w:t> — для анализа количественных данных, позволяют выявить закономерности, проверить гипотезы и сделать прогнозы. Например, описательная статистика, корреляционный анализ, регрессионный анализ.</w:t>
      </w:r>
    </w:p>
    <w:p w:rsidR="00EF55CE" w:rsidRPr="00EF55CE" w:rsidRDefault="00EF55CE" w:rsidP="00EF55CE">
      <w:pPr>
        <w:numPr>
          <w:ilvl w:val="0"/>
          <w:numId w:val="5"/>
        </w:numPr>
        <w:shd w:val="clear" w:color="auto" w:fill="FFFFFF"/>
        <w:spacing w:before="100" w:beforeAutospacing="1" w:after="160" w:line="220" w:lineRule="atLeast"/>
        <w:ind w:left="0"/>
        <w:rPr>
          <w:rFonts w:ascii="Arial" w:eastAsia="Times New Roman" w:hAnsi="Arial" w:cs="Arial"/>
          <w:color w:val="333333"/>
          <w:sz w:val="16"/>
          <w:szCs w:val="16"/>
        </w:rPr>
      </w:pPr>
      <w:r w:rsidRPr="00EF55CE">
        <w:rPr>
          <w:rFonts w:ascii="Arial" w:eastAsia="Times New Roman" w:hAnsi="Arial" w:cs="Arial"/>
          <w:b/>
          <w:bCs/>
          <w:color w:val="333333"/>
          <w:sz w:val="16"/>
        </w:rPr>
        <w:t>Методы содержательного анализа</w:t>
      </w:r>
      <w:r w:rsidRPr="00EF55CE">
        <w:rPr>
          <w:rFonts w:ascii="Arial" w:eastAsia="Times New Roman" w:hAnsi="Arial" w:cs="Arial"/>
          <w:color w:val="333333"/>
          <w:sz w:val="16"/>
          <w:szCs w:val="16"/>
        </w:rPr>
        <w:t> — для качественных данных, например, тематический анализ — поиск повторяющихся тем и паттернов в данных.</w:t>
      </w:r>
    </w:p>
    <w:p w:rsidR="00EF55CE" w:rsidRDefault="00EF55CE" w:rsidP="00EF55CE">
      <w:pPr>
        <w:pStyle w:val="TableParagraph"/>
        <w:ind w:left="948"/>
      </w:pPr>
    </w:p>
    <w:p w:rsidR="00EF55CE" w:rsidRDefault="00EF55CE" w:rsidP="00EF55CE">
      <w:pPr>
        <w:pStyle w:val="TableParagraph"/>
        <w:ind w:left="948"/>
      </w:pPr>
    </w:p>
    <w:sectPr w:rsidR="00EF55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BE3211"/>
    <w:multiLevelType w:val="multilevel"/>
    <w:tmpl w:val="E544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4D747F7"/>
    <w:multiLevelType w:val="multilevel"/>
    <w:tmpl w:val="0086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5F0DA3"/>
    <w:multiLevelType w:val="multilevel"/>
    <w:tmpl w:val="ABD0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4C626E7"/>
    <w:multiLevelType w:val="hybridMultilevel"/>
    <w:tmpl w:val="67C44D14"/>
    <w:lvl w:ilvl="0" w:tplc="D3C23A2C">
      <w:start w:val="1"/>
      <w:numFmt w:val="decimal"/>
      <w:lvlText w:val="%1."/>
      <w:lvlJc w:val="left"/>
      <w:pPr>
        <w:ind w:left="94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4">
    <w:nsid w:val="77E25C70"/>
    <w:multiLevelType w:val="multilevel"/>
    <w:tmpl w:val="0342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>
    <w:useFELayout/>
  </w:compat>
  <w:rsids>
    <w:rsidRoot w:val="00EF55CE"/>
    <w:rsid w:val="00EF55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F55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EF55CE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lang w:eastAsia="en-US"/>
    </w:rPr>
  </w:style>
  <w:style w:type="character" w:styleId="a3">
    <w:name w:val="Strong"/>
    <w:basedOn w:val="a0"/>
    <w:uiPriority w:val="22"/>
    <w:qFormat/>
    <w:rsid w:val="00EF55CE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EF55C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4">
    <w:name w:val="Hyperlink"/>
    <w:basedOn w:val="a0"/>
    <w:uiPriority w:val="99"/>
    <w:semiHidden/>
    <w:unhideWhenUsed/>
    <w:rsid w:val="00EF55CE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356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54143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09119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75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8153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23881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27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9540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85877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24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34859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759346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ork5.ru/spravochnik/sociologija/klassifikacija_metodov_sociologicheskogo_issledova" TargetMode="External"/><Relationship Id="rId5" Type="http://schemas.openxmlformats.org/officeDocument/2006/relationships/hyperlink" Target="https://skyeng.ru/it-industry/analytics/vidy-metodov-issledovaniya-i-ih-osobennost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405</Words>
  <Characters>2312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2025-12-04T21:59:00Z</dcterms:created>
  <dcterms:modified xsi:type="dcterms:W3CDTF">2025-12-04T22:07:00Z</dcterms:modified>
</cp:coreProperties>
</file>