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09C" w:rsidRDefault="0025009C" w:rsidP="00F00A42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                   </w:t>
      </w: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 xml:space="preserve">  </w:t>
      </w:r>
      <w:r w:rsidR="00F00A42">
        <w:rPr>
          <w:rFonts w:ascii="Tahoma" w:hAnsi="Tahoma" w:cs="Tahoma"/>
          <w:bCs/>
          <w:color w:val="000000"/>
        </w:rPr>
        <w:t xml:space="preserve">термины и определения </w:t>
      </w:r>
    </w:p>
    <w:p w:rsidR="00DC60BB" w:rsidRDefault="00DC60BB" w:rsidP="000D3BB8">
      <w:pPr>
        <w:pStyle w:val="2"/>
        <w:spacing w:before="0" w:beforeAutospacing="0" w:after="240" w:afterAutospacing="0" w:line="330" w:lineRule="atLeast"/>
        <w:textAlignment w:val="baseline"/>
        <w:rPr>
          <w:sz w:val="24"/>
          <w:szCs w:val="24"/>
        </w:rPr>
      </w:pPr>
    </w:p>
    <w:p w:rsidR="000D3BB8" w:rsidRDefault="000D3BB8" w:rsidP="000D3BB8">
      <w:pPr>
        <w:pStyle w:val="2"/>
        <w:spacing w:before="0" w:beforeAutospacing="0" w:after="240" w:afterAutospacing="0" w:line="330" w:lineRule="atLeast"/>
        <w:textAlignment w:val="baseline"/>
        <w:rPr>
          <w:sz w:val="24"/>
          <w:szCs w:val="24"/>
        </w:rPr>
      </w:pPr>
      <w:r>
        <w:rPr>
          <w:sz w:val="24"/>
          <w:szCs w:val="24"/>
        </w:rPr>
        <w:t> 3 Термины и определения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В настоящем стандарте применены термины по </w:t>
      </w:r>
      <w:hyperlink r:id="rId5" w:anchor="7D20K3" w:history="1">
        <w:r>
          <w:rPr>
            <w:rStyle w:val="a3"/>
            <w:color w:val="2C4B99"/>
          </w:rPr>
          <w:t>ГОСТ 28806</w:t>
        </w:r>
      </w:hyperlink>
      <w:r>
        <w:t>, </w:t>
      </w:r>
      <w:hyperlink r:id="rId6" w:anchor="7D20K3" w:history="1">
        <w:r>
          <w:rPr>
            <w:rStyle w:val="a3"/>
            <w:color w:val="2C4B99"/>
          </w:rPr>
          <w:t xml:space="preserve">ГОСТ </w:t>
        </w:r>
        <w:proofErr w:type="gramStart"/>
        <w:r>
          <w:rPr>
            <w:rStyle w:val="a3"/>
            <w:color w:val="2C4B99"/>
          </w:rPr>
          <w:t>Р</w:t>
        </w:r>
        <w:proofErr w:type="gramEnd"/>
        <w:r>
          <w:rPr>
            <w:rStyle w:val="a3"/>
            <w:color w:val="2C4B99"/>
          </w:rPr>
          <w:t xml:space="preserve"> 27.101</w:t>
        </w:r>
      </w:hyperlink>
      <w:r>
        <w:t>, </w:t>
      </w:r>
      <w:hyperlink r:id="rId7" w:anchor="7D20K3" w:history="1">
        <w:r>
          <w:rPr>
            <w:rStyle w:val="a3"/>
            <w:color w:val="2C4B99"/>
          </w:rPr>
          <w:t>ГОСТ Р 27.102</w:t>
        </w:r>
      </w:hyperlink>
      <w:r>
        <w:t>, </w:t>
      </w:r>
      <w:hyperlink r:id="rId8" w:anchor="7D20K3" w:history="1">
        <w:r>
          <w:rPr>
            <w:rStyle w:val="a3"/>
            <w:color w:val="2C4B99"/>
          </w:rPr>
          <w:t>ГОСТ 34.201</w:t>
        </w:r>
      </w:hyperlink>
      <w:r>
        <w:t>, </w:t>
      </w:r>
      <w:hyperlink r:id="rId9" w:anchor="7D20K3" w:history="1">
        <w:r>
          <w:rPr>
            <w:rStyle w:val="a3"/>
            <w:color w:val="2C4B99"/>
          </w:rPr>
          <w:t>ГОСТ Р 22.10.01</w:t>
        </w:r>
      </w:hyperlink>
      <w:r>
        <w:t>, </w:t>
      </w:r>
      <w:hyperlink r:id="rId10" w:anchor="7D20K3" w:history="1">
        <w:r>
          <w:rPr>
            <w:rStyle w:val="a3"/>
            <w:color w:val="2C4B99"/>
          </w:rPr>
          <w:t>ГОСТ Р ИСО 9000</w:t>
        </w:r>
      </w:hyperlink>
      <w:r>
        <w:t>, </w:t>
      </w:r>
      <w:hyperlink r:id="rId11" w:anchor="7D20K3" w:history="1">
        <w:r>
          <w:rPr>
            <w:rStyle w:val="a3"/>
            <w:color w:val="2C4B99"/>
          </w:rPr>
          <w:t>ГОСТ Р ИСО/МЭК 15026</w:t>
        </w:r>
      </w:hyperlink>
      <w:r>
        <w:t>, </w:t>
      </w:r>
      <w:hyperlink r:id="rId12" w:anchor="7D20K3" w:history="1">
        <w:r>
          <w:rPr>
            <w:rStyle w:val="a3"/>
            <w:color w:val="2C4B99"/>
          </w:rPr>
          <w:t>ГОСТ Р ИСО/МЭК 15026-1</w:t>
        </w:r>
      </w:hyperlink>
      <w:r>
        <w:t>, </w:t>
      </w:r>
      <w:hyperlink r:id="rId13" w:anchor="7D20K3" w:history="1">
        <w:r>
          <w:rPr>
            <w:rStyle w:val="a3"/>
            <w:color w:val="2C4B99"/>
          </w:rPr>
          <w:t>ГОСТ Р ИСО/МЭК 27001</w:t>
        </w:r>
      </w:hyperlink>
      <w:r>
        <w:t>, </w:t>
      </w:r>
      <w:hyperlink r:id="rId14" w:anchor="7D20K3" w:history="1">
        <w:r>
          <w:rPr>
            <w:rStyle w:val="a3"/>
            <w:color w:val="2C4B99"/>
          </w:rPr>
          <w:t>ГОСТ Р 51897</w:t>
        </w:r>
      </w:hyperlink>
      <w:r>
        <w:t>, </w:t>
      </w:r>
      <w:hyperlink r:id="rId15" w:anchor="7D20K3" w:history="1">
        <w:r>
          <w:rPr>
            <w:rStyle w:val="a3"/>
            <w:color w:val="2C4B99"/>
          </w:rPr>
          <w:t>ГОСТ Р 59709</w:t>
        </w:r>
      </w:hyperlink>
      <w:r>
        <w:t>, </w:t>
      </w:r>
      <w:hyperlink r:id="rId16" w:anchor="7D20K3" w:history="1">
        <w:r>
          <w:rPr>
            <w:rStyle w:val="a3"/>
            <w:color w:val="2C4B99"/>
          </w:rPr>
          <w:t>ГОСТ Р 59989</w:t>
        </w:r>
      </w:hyperlink>
      <w:r>
        <w:t>, </w:t>
      </w:r>
      <w:hyperlink r:id="rId17" w:anchor="7D20K3" w:history="1">
        <w:r>
          <w:rPr>
            <w:rStyle w:val="a3"/>
            <w:color w:val="2C4B99"/>
          </w:rPr>
          <w:t>ГОСТ Р 59991</w:t>
        </w:r>
      </w:hyperlink>
      <w:r>
        <w:t>, </w:t>
      </w:r>
      <w:hyperlink r:id="rId18" w:anchor="7D20K3" w:history="1">
        <w:r>
          <w:rPr>
            <w:rStyle w:val="a3"/>
            <w:color w:val="2C4B99"/>
          </w:rPr>
          <w:t>ГОСТ Р 59994</w:t>
        </w:r>
      </w:hyperlink>
      <w:r>
        <w:t>, </w:t>
      </w:r>
      <w:hyperlink r:id="rId19" w:anchor="7D20K3" w:history="1">
        <w:r>
          <w:rPr>
            <w:rStyle w:val="a3"/>
            <w:color w:val="2C4B99"/>
          </w:rPr>
          <w:t>ГОСТ Р МЭК 61069-1</w:t>
        </w:r>
      </w:hyperlink>
      <w:r>
        <w:t>, </w:t>
      </w:r>
      <w:hyperlink r:id="rId20" w:anchor="7D20K3" w:history="1">
        <w:r>
          <w:rPr>
            <w:rStyle w:val="a3"/>
            <w:color w:val="2C4B99"/>
          </w:rPr>
          <w:t>ГОСТ Р МЭК 61508-4</w:t>
        </w:r>
      </w:hyperlink>
      <w:r>
        <w:t>, </w:t>
      </w:r>
      <w:hyperlink r:id="rId21" w:anchor="7D20K3" w:history="1">
        <w:r>
          <w:rPr>
            <w:rStyle w:val="a3"/>
            <w:color w:val="2C4B99"/>
          </w:rPr>
          <w:t xml:space="preserve">ГОСТ </w:t>
        </w:r>
        <w:proofErr w:type="gramStart"/>
        <w:r>
          <w:rPr>
            <w:rStyle w:val="a3"/>
            <w:color w:val="2C4B99"/>
          </w:rPr>
          <w:t>Р</w:t>
        </w:r>
        <w:proofErr w:type="gramEnd"/>
        <w:r>
          <w:rPr>
            <w:rStyle w:val="a3"/>
            <w:color w:val="2C4B99"/>
          </w:rPr>
          <w:t xml:space="preserve"> МЭК 62264-1</w:t>
        </w:r>
      </w:hyperlink>
      <w:r>
        <w:t>, </w:t>
      </w:r>
      <w:hyperlink r:id="rId22" w:anchor="7D20K3" w:history="1">
        <w:r>
          <w:rPr>
            <w:rStyle w:val="a3"/>
            <w:color w:val="2C4B99"/>
          </w:rPr>
          <w:t>ГОСТ Р 71199</w:t>
        </w:r>
      </w:hyperlink>
      <w:r>
        <w:t>, а также следующие термины с соответствующими определениями: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автоматизированная система;</w:t>
            </w:r>
            <w:r>
              <w:t> АС: Система, состоящая из комплекса средств автоматизации, реализующего информационную технологию выполнения установленных функций, и персонала, обеспечивающего его функционирование.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Примечания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В зависимости от вида деятельности выделяют, например, следующие виды АС: автоматизированные системы управления (АСУ), системы автоматизированного проектирования (САПР), автоматизированные системы научных исследований (АСНИ) и др.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 xml:space="preserve">В зависимости от вида управляемого объекта (процесса) АСУ подразделяют, </w:t>
            </w:r>
            <w:proofErr w:type="gramStart"/>
            <w:r>
              <w:t>например</w:t>
            </w:r>
            <w:proofErr w:type="gramEnd"/>
            <w:r>
              <w:t xml:space="preserve"> на АСУ технологическими процессами (АСУТП), АСУ предприятиями (АСУП) и т.д.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23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59853-2021</w:t>
              </w:r>
            </w:hyperlink>
            <w:r>
              <w:t>, статья 3.2]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3.2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дефект:</w:t>
            </w:r>
            <w:r>
              <w:t> Каждое отдельное несоответствие продукции установленным требованиям.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hyperlink r:id="rId24" w:anchor="7D20K3" w:history="1">
              <w:r>
                <w:rPr>
                  <w:rStyle w:val="a3"/>
                  <w:color w:val="2C4B99"/>
                </w:rPr>
                <w:t>[ГОСТ 15467-1979</w:t>
              </w:r>
            </w:hyperlink>
            <w:r>
              <w:t>, пункт 3.8]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3.3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информационно-вычислительная система (программно-технический комплекс):</w:t>
            </w:r>
            <w:r>
              <w:t> Совокупность данных (баз данных) и программ, функционирующих на вычислительных средствах как единое целое для решения определенных задач.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25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53622-2009</w:t>
              </w:r>
            </w:hyperlink>
            <w:r>
              <w:t>, статья 3.5]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3.4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искусственный интеллект;</w:t>
            </w:r>
            <w:r>
              <w:t> ИИ: Способность технической системы имитировать когнитивные функции человека (включая самообучение и поиск решений без заранее заданного алгоритма) и получать при выполнении конкретных практически значимых задач обработки данных результаты, сопоставимые, как минимум, с результатами интеллектуальной деятельности человека.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26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59276-2020</w:t>
              </w:r>
            </w:hyperlink>
            <w:r>
              <w:t>, статья 3.6]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3.5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proofErr w:type="spellStart"/>
            <w:r>
              <w:rPr>
                <w:b/>
                <w:bCs/>
                <w:bdr w:val="none" w:sz="0" w:space="0" w:color="auto" w:frame="1"/>
              </w:rPr>
              <w:t>киберфизическая</w:t>
            </w:r>
            <w:proofErr w:type="spellEnd"/>
            <w:r>
              <w:rPr>
                <w:b/>
                <w:bCs/>
                <w:bdr w:val="none" w:sz="0" w:space="0" w:color="auto" w:frame="1"/>
              </w:rPr>
              <w:t xml:space="preserve"> система:</w:t>
            </w:r>
            <w:r>
              <w:t xml:space="preserve"> Информационно-технологическая концепция, подразумевающая интеграцию вычислительных ресурсов в физические процессы. В такой системе датчики, оборудование и информационные системы соединены на </w:t>
            </w:r>
            <w:r>
              <w:lastRenderedPageBreak/>
              <w:t xml:space="preserve">протяжении всей цепочки в логику управления для создания стоимости, выходящей за рамки одного предприятия или бизнеса. Эти системы взаимодействуют друг с другом с помощью </w:t>
            </w:r>
            <w:proofErr w:type="gramStart"/>
            <w:r>
              <w:t>стандартных</w:t>
            </w:r>
            <w:proofErr w:type="gramEnd"/>
            <w:r>
              <w:t xml:space="preserve"> </w:t>
            </w:r>
            <w:proofErr w:type="spellStart"/>
            <w:r>
              <w:t>интернет-протоколов</w:t>
            </w:r>
            <w:proofErr w:type="spellEnd"/>
            <w:r>
              <w:t xml:space="preserve"> для прогнозирования, самонастройки и адаптации к изменениям.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27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59277-2020</w:t>
              </w:r>
            </w:hyperlink>
            <w:r>
              <w:t>, статья 3.29]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lastRenderedPageBreak/>
        <w:t>3.6 </w:t>
      </w:r>
      <w:r>
        <w:rPr>
          <w:b/>
          <w:bCs/>
          <w:bdr w:val="none" w:sz="0" w:space="0" w:color="auto" w:frame="1"/>
        </w:rPr>
        <w:t>метаморфическая связь:</w:t>
      </w:r>
      <w:r>
        <w:t> Описание влияния изменений во входных данных для тестового примера на ожидаемые выходные результаты на основе требуемого поведения объекта тестирования.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3.7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ошибка:</w:t>
            </w:r>
            <w:r>
              <w:t> Недопустимое состояние, которое испытывает система.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Примечание - Примером такой ошибки является попытка деления на ноль.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[ГОСТ 37707-2016, пункт 4.871]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3.8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программное обеспечение автоматизированной системы; </w:t>
            </w:r>
            <w:r>
              <w:t>программное обеспечение АС: Совокупность программ и программных документов, предназначенная для отладки, функционирования и проверки работоспособности АС.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28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59853-2021</w:t>
              </w:r>
            </w:hyperlink>
            <w:r>
              <w:t>, статья 62]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3.9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программное средство в автоматизированной системе;</w:t>
            </w:r>
            <w:r>
              <w:t xml:space="preserve"> программное средство </w:t>
            </w:r>
            <w:proofErr w:type="gramStart"/>
            <w:r>
              <w:t>в</w:t>
            </w:r>
            <w:proofErr w:type="gramEnd"/>
            <w:r>
              <w:t xml:space="preserve"> АС: Объект, состоящий из программ, процедур, правил, относящихся к функционированию автоматизированной системы, а также сопутствующих им документации и, если предусмотрено, данных.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29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59853-2021</w:t>
              </w:r>
            </w:hyperlink>
            <w:r>
              <w:t>, статья 63]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3.10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программное обеспечение ИВС (программа, программное средство):</w:t>
            </w:r>
            <w:r>
              <w:t> Упорядоченная последовательность инструкций (кодов) для вычислительного средства, находящаяся в памяти этого средства и представляющая собой описание алгоритма управления вычислительными средствами и действий с данными.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30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53622-2009</w:t>
              </w:r>
            </w:hyperlink>
            <w:r>
              <w:t>, статья 3.8]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3.11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 xml:space="preserve">программное обеспечение </w:t>
            </w:r>
            <w:proofErr w:type="gramStart"/>
            <w:r>
              <w:rPr>
                <w:b/>
                <w:bCs/>
                <w:bdr w:val="none" w:sz="0" w:space="0" w:color="auto" w:frame="1"/>
              </w:rPr>
              <w:t>СИИ</w:t>
            </w:r>
            <w:proofErr w:type="gramEnd"/>
            <w:r>
              <w:rPr>
                <w:b/>
                <w:bCs/>
                <w:bdr w:val="none" w:sz="0" w:space="0" w:color="auto" w:frame="1"/>
              </w:rPr>
              <w:t> </w:t>
            </w:r>
            <w:r>
              <w:t>(программа, программное средство): Упорядоченная последовательность инструкций (кодов) для вычислительного сродства, находящаяся в памяти этого средства и представляющая собой описание алгоритма управления вычислительными средствами и действий с данными.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[Адаптировано из </w:t>
            </w:r>
            <w:hyperlink r:id="rId31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59276-2020</w:t>
              </w:r>
            </w:hyperlink>
            <w:r>
              <w:t>, статья 3.38]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3.12 пр</w:t>
      </w:r>
      <w:r>
        <w:rPr>
          <w:b/>
          <w:bCs/>
          <w:bdr w:val="none" w:sz="0" w:space="0" w:color="auto" w:frame="1"/>
        </w:rPr>
        <w:t>ограммное обеспечение системы;</w:t>
      </w:r>
      <w:r>
        <w:t> программное обеспечение АС, ИВС, ПТК, устройства, СИИ: Совокупность программ и программных документов, предназначенная для отладки, функционирования и проверки работоспособности АС, ИВС, ПТК, устройства, СИИ.</w:t>
      </w:r>
    </w:p>
    <w:p w:rsidR="00DC60BB" w:rsidRDefault="00DC60BB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</w:p>
    <w:p w:rsidR="00DC60BB" w:rsidRDefault="00DC60BB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</w:p>
    <w:p w:rsidR="00DC60BB" w:rsidRDefault="00DC60BB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3.13 </w:t>
      </w:r>
      <w:r>
        <w:rPr>
          <w:b/>
          <w:bCs/>
          <w:bdr w:val="none" w:sz="0" w:space="0" w:color="auto" w:frame="1"/>
        </w:rPr>
        <w:t>повторное тестирование:</w:t>
      </w:r>
      <w:r>
        <w:t> Подтверждающее тестирование, проводимое для проверки успешности устранения дефекта или ошибки внесенными изменениями.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3.14 </w:t>
      </w:r>
      <w:r>
        <w:rPr>
          <w:b/>
          <w:bCs/>
          <w:bdr w:val="none" w:sz="0" w:space="0" w:color="auto" w:frame="1"/>
        </w:rPr>
        <w:t>регрессионное тестирование:</w:t>
      </w:r>
      <w:r>
        <w:t xml:space="preserve"> Тестирование, проводимое после внесения изменений в объект тестирования или в его операционную среду, с целью выявления дефектов в </w:t>
      </w:r>
      <w:proofErr w:type="spellStart"/>
      <w:r>
        <w:t>немодифицированных</w:t>
      </w:r>
      <w:proofErr w:type="spellEnd"/>
      <w:r>
        <w:t xml:space="preserve"> частях объекта тестирования.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Примечание - Регрессионное тестирование отличается от повторного тестирования тем, что проверяется не то, что модификация работает правильно, а то, что другие части системы не были случайно затронуты изменением.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3.15 </w:t>
      </w:r>
      <w:r>
        <w:rPr>
          <w:b/>
          <w:bCs/>
          <w:bdr w:val="none" w:sz="0" w:space="0" w:color="auto" w:frame="1"/>
        </w:rPr>
        <w:t>ручное тестирование:</w:t>
      </w:r>
      <w:r>
        <w:t> Проведение тестов людьми путем ввода информации в объект тестирования и проверки результатов.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Примечание - Автоматизированное тестирование подразумевает использование инструментариев, роботов и других подсистем выполнения тестов. При ручном тестировании эти элементы не используются.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3.16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система искусственного интеллекта;</w:t>
            </w:r>
            <w:r>
              <w:t> </w:t>
            </w:r>
            <w:proofErr w:type="gramStart"/>
            <w:r>
              <w:t>СИИ</w:t>
            </w:r>
            <w:proofErr w:type="gramEnd"/>
            <w:r>
              <w:t>: Техническая система, в которой используются технологии искусственного интеллекта, и обладающая искусственным интеллектом.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32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59276-2020</w:t>
              </w:r>
            </w:hyperlink>
            <w:r>
              <w:t>, статья 3.16]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3.17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технические средства ИВС:</w:t>
            </w:r>
            <w:r>
              <w:t> Аппаратные и программные средства, используемые для сбора, обработки, хранения, манипуляции и выдачи данных.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33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53622-2009</w:t>
              </w:r>
            </w:hyperlink>
            <w:r>
              <w:t>, статья 3.12]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3.18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55"/>
      </w:tblGrid>
      <w:tr w:rsidR="000D3BB8" w:rsidTr="000D3BB8">
        <w:trPr>
          <w:trHeight w:val="15"/>
        </w:trPr>
        <w:tc>
          <w:tcPr>
            <w:tcW w:w="1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D3BB8" w:rsidRDefault="000D3BB8">
            <w:pPr>
              <w:rPr>
                <w:sz w:val="2"/>
                <w:szCs w:val="24"/>
              </w:rPr>
            </w:pPr>
          </w:p>
        </w:tc>
      </w:tr>
      <w:tr w:rsidR="000D3BB8" w:rsidTr="000D3BB8">
        <w:tc>
          <w:tcPr>
            <w:tcW w:w="1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30" w:type="dxa"/>
              <w:bottom w:w="0" w:type="dxa"/>
              <w:right w:w="130" w:type="dxa"/>
            </w:tcMar>
            <w:hideMark/>
          </w:tcPr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rPr>
                <w:b/>
                <w:bCs/>
                <w:bdr w:val="none" w:sz="0" w:space="0" w:color="auto" w:frame="1"/>
              </w:rPr>
              <w:t>технологии искусственного интеллекта:</w:t>
            </w:r>
            <w:r>
              <w:t> Комплекс технологических решений, направленных на создание систем искусственного интеллекта.</w:t>
            </w:r>
          </w:p>
          <w:p w:rsidR="000D3BB8" w:rsidRDefault="000D3BB8">
            <w:pPr>
              <w:pStyle w:val="formattext"/>
              <w:spacing w:before="0" w:beforeAutospacing="0" w:after="0" w:afterAutospacing="0"/>
              <w:ind w:firstLine="480"/>
              <w:textAlignment w:val="baseline"/>
            </w:pPr>
            <w:r>
              <w:t>[</w:t>
            </w:r>
            <w:hyperlink r:id="rId34" w:anchor="7D20K3" w:history="1">
              <w:r>
                <w:rPr>
                  <w:rStyle w:val="a3"/>
                  <w:color w:val="2C4B99"/>
                </w:rPr>
                <w:t xml:space="preserve">ГОСТ </w:t>
              </w:r>
              <w:proofErr w:type="gramStart"/>
              <w:r>
                <w:rPr>
                  <w:rStyle w:val="a3"/>
                  <w:color w:val="2C4B99"/>
                </w:rPr>
                <w:t>Р</w:t>
              </w:r>
              <w:proofErr w:type="gramEnd"/>
              <w:r>
                <w:rPr>
                  <w:rStyle w:val="a3"/>
                  <w:color w:val="2C4B99"/>
                </w:rPr>
                <w:t xml:space="preserve"> 59277-2020</w:t>
              </w:r>
            </w:hyperlink>
            <w:r>
              <w:t>, статья 3.44]</w:t>
            </w:r>
            <w:r>
              <w:br/>
            </w:r>
          </w:p>
        </w:tc>
      </w:tr>
    </w:tbl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3.19 </w:t>
      </w:r>
      <w:r>
        <w:rPr>
          <w:b/>
          <w:bCs/>
          <w:bdr w:val="none" w:sz="0" w:space="0" w:color="auto" w:frame="1"/>
        </w:rPr>
        <w:t>тестирование:</w:t>
      </w:r>
      <w:r>
        <w:t> Комплекс мероприятий, проводимых для упрощения выявления и оценки свойств объекта тестирования.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Примечание - Деятельность по тестированию включает в себя планирование, подготовку, выполнение, отчетность и управление в той мере, в какой они связаны с тестированием.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3.20 </w:t>
      </w:r>
      <w:r>
        <w:rPr>
          <w:b/>
          <w:bCs/>
          <w:bdr w:val="none" w:sz="0" w:space="0" w:color="auto" w:frame="1"/>
        </w:rPr>
        <w:t>тестовый пример:</w:t>
      </w:r>
      <w:r>
        <w:t> Набор предварительных условий, входных данных и ожидаемых результатов, разработанный для наблюдения за поведением объекта тестирования для достижения целей тестирования.</w:t>
      </w:r>
    </w:p>
    <w:p w:rsidR="000D3BB8" w:rsidRDefault="000D3BB8" w:rsidP="000D3BB8">
      <w:pPr>
        <w:pStyle w:val="2"/>
        <w:spacing w:before="0" w:beforeAutospacing="0" w:after="240" w:afterAutospacing="0" w:line="330" w:lineRule="atLeast"/>
        <w:textAlignment w:val="baseline"/>
        <w:rPr>
          <w:sz w:val="24"/>
          <w:szCs w:val="24"/>
        </w:rPr>
      </w:pPr>
      <w:r>
        <w:rPr>
          <w:sz w:val="24"/>
          <w:szCs w:val="24"/>
        </w:rPr>
        <w:t>     4 Сокращения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АС - автоматизированные системы;</w:t>
      </w:r>
    </w:p>
    <w:p w:rsidR="000D3BB8" w:rsidRDefault="000D3BB8" w:rsidP="000D3BB8">
      <w:pPr>
        <w:pStyle w:val="formattext"/>
        <w:spacing w:before="0" w:beforeAutospacing="0" w:after="0" w:afterAutospacing="0" w:line="330" w:lineRule="atLeast"/>
        <w:ind w:firstLine="480"/>
        <w:textAlignment w:val="baseline"/>
      </w:pPr>
      <w:r>
        <w:t>ИВС - информационно-вычислительные системы;</w:t>
      </w:r>
    </w:p>
    <w:p w:rsidR="000D3BB8" w:rsidRDefault="000D3BB8" w:rsidP="00F00A42">
      <w:pPr>
        <w:rPr>
          <w:rFonts w:ascii="Tahoma" w:hAnsi="Tahoma" w:cs="Tahoma"/>
          <w:bCs/>
          <w:color w:val="000000"/>
        </w:rPr>
      </w:pPr>
    </w:p>
    <w:p w:rsidR="0025009C" w:rsidRDefault="0025009C"/>
    <w:sectPr w:rsidR="0025009C" w:rsidSect="008C5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3D6712"/>
    <w:multiLevelType w:val="hybridMultilevel"/>
    <w:tmpl w:val="C4F8F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CD4EF0"/>
    <w:multiLevelType w:val="hybridMultilevel"/>
    <w:tmpl w:val="38B28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01CE4"/>
    <w:multiLevelType w:val="hybridMultilevel"/>
    <w:tmpl w:val="2264A0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A519A4"/>
    <w:multiLevelType w:val="hybridMultilevel"/>
    <w:tmpl w:val="CD1AF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CE7DF7"/>
    <w:multiLevelType w:val="hybridMultilevel"/>
    <w:tmpl w:val="6B3A2D2C"/>
    <w:lvl w:ilvl="0" w:tplc="C7129340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736829"/>
    <w:multiLevelType w:val="hybridMultilevel"/>
    <w:tmpl w:val="6F381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550461"/>
    <w:multiLevelType w:val="hybridMultilevel"/>
    <w:tmpl w:val="73700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25009C"/>
    <w:rsid w:val="00094892"/>
    <w:rsid w:val="000D3BB8"/>
    <w:rsid w:val="0025009C"/>
    <w:rsid w:val="005A6A2B"/>
    <w:rsid w:val="008C523B"/>
    <w:rsid w:val="00A91D17"/>
    <w:rsid w:val="00DC60BB"/>
    <w:rsid w:val="00F00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23B"/>
  </w:style>
  <w:style w:type="paragraph" w:styleId="2">
    <w:name w:val="heading 2"/>
    <w:basedOn w:val="a"/>
    <w:link w:val="20"/>
    <w:uiPriority w:val="9"/>
    <w:qFormat/>
    <w:rsid w:val="000D3B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25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25009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50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009C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5009C"/>
    <w:pPr>
      <w:ind w:left="720"/>
      <w:contextualSpacing/>
    </w:pPr>
  </w:style>
  <w:style w:type="paragraph" w:styleId="a7">
    <w:name w:val="No Spacing"/>
    <w:uiPriority w:val="1"/>
    <w:qFormat/>
    <w:rsid w:val="0025009C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0D3BB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6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1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4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87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19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31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04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75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45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02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24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7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1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1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5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9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8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200181803" TargetMode="External"/><Relationship Id="rId13" Type="http://schemas.openxmlformats.org/officeDocument/2006/relationships/hyperlink" Target="https://docs.cntd.ru/document/1200181890" TargetMode="External"/><Relationship Id="rId18" Type="http://schemas.openxmlformats.org/officeDocument/2006/relationships/hyperlink" Target="https://docs.cntd.ru/document/1200192698" TargetMode="External"/><Relationship Id="rId26" Type="http://schemas.openxmlformats.org/officeDocument/2006/relationships/hyperlink" Target="https://docs.cntd.ru/document/120017729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cntd.ru/document/1200118645" TargetMode="External"/><Relationship Id="rId34" Type="http://schemas.openxmlformats.org/officeDocument/2006/relationships/hyperlink" Target="https://docs.cntd.ru/document/1200177292" TargetMode="External"/><Relationship Id="rId7" Type="http://schemas.openxmlformats.org/officeDocument/2006/relationships/hyperlink" Target="https://docs.cntd.ru/document/1200181141" TargetMode="External"/><Relationship Id="rId12" Type="http://schemas.openxmlformats.org/officeDocument/2006/relationships/hyperlink" Target="https://docs.cntd.ru/document/1200134478" TargetMode="External"/><Relationship Id="rId17" Type="http://schemas.openxmlformats.org/officeDocument/2006/relationships/hyperlink" Target="https://docs.cntd.ru/document/1200192695" TargetMode="External"/><Relationship Id="rId25" Type="http://schemas.openxmlformats.org/officeDocument/2006/relationships/hyperlink" Target="https://docs.cntd.ru/document/1200080849" TargetMode="External"/><Relationship Id="rId33" Type="http://schemas.openxmlformats.org/officeDocument/2006/relationships/hyperlink" Target="https://docs.cntd.ru/document/120008084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cntd.ru/document/1200192693" TargetMode="External"/><Relationship Id="rId20" Type="http://schemas.openxmlformats.org/officeDocument/2006/relationships/hyperlink" Target="https://docs.cntd.ru/document/1200102418" TargetMode="External"/><Relationship Id="rId29" Type="http://schemas.openxmlformats.org/officeDocument/2006/relationships/hyperlink" Target="https://docs.cntd.ru/document/12001818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181140" TargetMode="External"/><Relationship Id="rId11" Type="http://schemas.openxmlformats.org/officeDocument/2006/relationships/hyperlink" Target="https://docs.cntd.ru/document/1200030163" TargetMode="External"/><Relationship Id="rId24" Type="http://schemas.openxmlformats.org/officeDocument/2006/relationships/hyperlink" Target="https://docs.cntd.ru/document/1200001719" TargetMode="External"/><Relationship Id="rId32" Type="http://schemas.openxmlformats.org/officeDocument/2006/relationships/hyperlink" Target="https://docs.cntd.ru/document/1200177291" TargetMode="External"/><Relationship Id="rId5" Type="http://schemas.openxmlformats.org/officeDocument/2006/relationships/hyperlink" Target="https://docs.cntd.ru/document/1200009077" TargetMode="External"/><Relationship Id="rId15" Type="http://schemas.openxmlformats.org/officeDocument/2006/relationships/hyperlink" Target="https://docs.cntd.ru/document/1200194355" TargetMode="External"/><Relationship Id="rId23" Type="http://schemas.openxmlformats.org/officeDocument/2006/relationships/hyperlink" Target="https://docs.cntd.ru/document/1200181819" TargetMode="External"/><Relationship Id="rId28" Type="http://schemas.openxmlformats.org/officeDocument/2006/relationships/hyperlink" Target="https://docs.cntd.ru/document/1200181819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cs.cntd.ru/document/1200124393" TargetMode="External"/><Relationship Id="rId19" Type="http://schemas.openxmlformats.org/officeDocument/2006/relationships/hyperlink" Target="https://docs.cntd.ru/document/1200157459" TargetMode="External"/><Relationship Id="rId31" Type="http://schemas.openxmlformats.org/officeDocument/2006/relationships/hyperlink" Target="https://docs.cntd.ru/document/12001772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ntd.ru/document/1200180860" TargetMode="External"/><Relationship Id="rId14" Type="http://schemas.openxmlformats.org/officeDocument/2006/relationships/hyperlink" Target="https://docs.cntd.ru/document/1200181662" TargetMode="External"/><Relationship Id="rId22" Type="http://schemas.openxmlformats.org/officeDocument/2006/relationships/hyperlink" Target="https://docs.cntd.ru/document/1304634007" TargetMode="External"/><Relationship Id="rId27" Type="http://schemas.openxmlformats.org/officeDocument/2006/relationships/hyperlink" Target="https://docs.cntd.ru/document/1200177292" TargetMode="External"/><Relationship Id="rId30" Type="http://schemas.openxmlformats.org/officeDocument/2006/relationships/hyperlink" Target="https://docs.cntd.ru/document/1200080849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1238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2025-12-20T04:21:00Z</dcterms:created>
  <dcterms:modified xsi:type="dcterms:W3CDTF">2025-12-20T05:09:00Z</dcterms:modified>
</cp:coreProperties>
</file>