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43" w:type="dxa"/>
        <w:tblInd w:w="-7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647"/>
        <w:gridCol w:w="1418"/>
        <w:gridCol w:w="1701"/>
      </w:tblGrid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</w:pPr>
            <w:r w:rsidRPr="00D678B0">
              <w:rPr>
                <w:rStyle w:val="Bodytext105pt1"/>
                <w:color w:val="000000"/>
              </w:rPr>
              <w:t xml:space="preserve">МДК.05.01. Теоретические основы обеспечения надёжности систем автоматизации и модулей </w:t>
            </w:r>
            <w:proofErr w:type="spellStart"/>
            <w:r w:rsidRPr="00D678B0">
              <w:rPr>
                <w:rStyle w:val="Bodytext105pt1"/>
                <w:color w:val="000000"/>
              </w:rPr>
              <w:t>мехатронньх</w:t>
            </w:r>
            <w:proofErr w:type="spellEnd"/>
            <w:r w:rsidRPr="00D678B0">
              <w:rPr>
                <w:rStyle w:val="Bodytext105pt1"/>
                <w:color w:val="000000"/>
              </w:rPr>
              <w:t xml:space="preserve"> систем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Введение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Цели и задачи профессионального модуля. Структура профес</w:t>
            </w:r>
            <w:r w:rsidRPr="00D678B0">
              <w:rPr>
                <w:rStyle w:val="Bodytext105pt"/>
                <w:color w:val="000000"/>
              </w:rPr>
              <w:softHyphen/>
              <w:t>сионального модуля. Последовательность освоения профес</w:t>
            </w:r>
            <w:r w:rsidRPr="00D678B0">
              <w:rPr>
                <w:rStyle w:val="Bodytext105pt"/>
                <w:color w:val="000000"/>
              </w:rPr>
              <w:softHyphen/>
              <w:t>сиональных компетенций по модулю. Требования к уровню знаний и умений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1. Основные термины и определения теории надёжности тех</w:t>
            </w:r>
            <w:r w:rsidRPr="00D678B0">
              <w:rPr>
                <w:rStyle w:val="Bodytext105pt"/>
                <w:color w:val="000000"/>
              </w:rPr>
              <w:softHyphen/>
              <w:t>нических систем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Bodytext105pt"/>
                <w:color w:val="000000"/>
              </w:rPr>
              <w:t>2</w:t>
            </w:r>
            <w:r w:rsidRPr="00D678B0">
              <w:rPr>
                <w:rStyle w:val="Bodytext105pt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/>
        </w:trPr>
        <w:tc>
          <w:tcPr>
            <w:tcW w:w="2977" w:type="dxa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2. Показатели надёжности, регламентируемые стандартами. Случайные величины и их характеристики. Общие зависи</w:t>
            </w:r>
            <w:r w:rsidRPr="00D678B0">
              <w:rPr>
                <w:rStyle w:val="Bodytext105pt"/>
                <w:color w:val="000000"/>
              </w:rPr>
              <w:softHyphen/>
              <w:t>мости. Оценка параметров надёжности технических систем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</w:tbl>
    <w:p w:rsidR="00652681" w:rsidRPr="00D678B0" w:rsidRDefault="00652681" w:rsidP="00652681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4743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647"/>
        <w:gridCol w:w="1418"/>
        <w:gridCol w:w="1701"/>
      </w:tblGrid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/>
        </w:trPr>
        <w:tc>
          <w:tcPr>
            <w:tcW w:w="2977" w:type="dxa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1.1.</w:t>
            </w:r>
          </w:p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  <w:r w:rsidRPr="00D678B0">
              <w:rPr>
                <w:rStyle w:val="Bodytext105pt"/>
              </w:rPr>
              <w:t xml:space="preserve">Основные понятия теории </w:t>
            </w:r>
            <w:r w:rsidRPr="00D45F0B">
              <w:rPr>
                <w:rStyle w:val="Bodytext105pt"/>
              </w:rPr>
              <w:t>надёжности технических систем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3. Различные периоды работы технических устройств. Надёж</w:t>
            </w:r>
            <w:r w:rsidRPr="00D678B0">
              <w:rPr>
                <w:rStyle w:val="Bodytext105pt"/>
                <w:color w:val="000000"/>
              </w:rPr>
              <w:softHyphen/>
              <w:t>ность систем в период нормальной эксплуатации. Надёжность систем в период постепенных отказов, возникающих из-за из</w:t>
            </w:r>
            <w:r w:rsidRPr="00D678B0">
              <w:rPr>
                <w:rStyle w:val="Bodytext105pt"/>
                <w:color w:val="000000"/>
              </w:rPr>
              <w:softHyphen/>
              <w:t>носа и старения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4. Совместное действие внезапных и постепенных отказов на систему. Особенности оценки надёжности восстанавливае</w:t>
            </w:r>
            <w:r w:rsidRPr="00D678B0">
              <w:rPr>
                <w:rStyle w:val="Bodytext105pt"/>
                <w:color w:val="000000"/>
              </w:rPr>
              <w:softHyphen/>
              <w:t>мых систем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10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1"/>
              </w:numPr>
              <w:shd w:val="clear" w:color="auto" w:fill="auto"/>
              <w:tabs>
                <w:tab w:val="left" w:pos="-1"/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Выполнение расчёта вероятностных характеристик слу</w:t>
            </w:r>
            <w:r w:rsidRPr="00D678B0">
              <w:rPr>
                <w:rStyle w:val="Bodytext105pt"/>
                <w:color w:val="000000"/>
              </w:rPr>
              <w:softHyphen/>
              <w:t>чайных величин одной генеральной совокупности.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1"/>
              </w:numPr>
              <w:shd w:val="clear" w:color="auto" w:fill="auto"/>
              <w:tabs>
                <w:tab w:val="left" w:pos="14"/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 xml:space="preserve">Выполнение расчёта показателей надёжности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узлов при нормальном законе распределения вероят</w:t>
            </w:r>
            <w:r w:rsidRPr="00D678B0">
              <w:rPr>
                <w:rStyle w:val="Bodytext105pt"/>
                <w:color w:val="000000"/>
              </w:rPr>
              <w:softHyphen/>
              <w:t>ности безотказной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1.2.</w:t>
            </w:r>
          </w:p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Надёжность неремонтируемых и ремонтируемых технических систем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1. Показатели надёжности неремонтируемых систем. Теоре</w:t>
            </w:r>
            <w:r w:rsidRPr="00D678B0">
              <w:rPr>
                <w:rStyle w:val="Bodytext105pt"/>
                <w:color w:val="000000"/>
              </w:rPr>
              <w:softHyphen/>
              <w:t>тические распределения наработки до отказа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2. Показатели надёжности ремонтируемых систем, не восста</w:t>
            </w:r>
            <w:r w:rsidRPr="00D678B0">
              <w:rPr>
                <w:rStyle w:val="Bodytext105pt"/>
                <w:color w:val="000000"/>
              </w:rPr>
              <w:softHyphen/>
              <w:t>навливаемых в процессе применения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3. Показатели надёжности ремонтируемых систем, восстанав</w:t>
            </w:r>
            <w:r w:rsidRPr="00D678B0">
              <w:rPr>
                <w:rStyle w:val="Bodytext105pt"/>
                <w:color w:val="000000"/>
              </w:rPr>
              <w:softHyphen/>
              <w:t>ливаемых в процессе применения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4. Ремонтопригодность и готовность технических устройств. Система планово-предупредительного ремонта (ППР)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tabs>
                <w:tab w:val="left" w:pos="347"/>
              </w:tabs>
              <w:spacing w:line="264" w:lineRule="exact"/>
              <w:ind w:left="205" w:hanging="142"/>
            </w:pPr>
            <w:r w:rsidRPr="00D678B0">
              <w:rPr>
                <w:rStyle w:val="Bodytext105pt"/>
                <w:color w:val="000000"/>
              </w:rPr>
              <w:t>5. Методы испытания на надёжность и статистической обра</w:t>
            </w:r>
            <w:r w:rsidRPr="00D678B0">
              <w:rPr>
                <w:rStyle w:val="Bodytext105pt"/>
                <w:color w:val="000000"/>
              </w:rPr>
              <w:softHyphen/>
              <w:t>ботки опытных данных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26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lastRenderedPageBreak/>
              <w:t>Наименование разделов ПМ, МДК и 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21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Объём</w:t>
            </w:r>
          </w:p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Уровень</w:t>
            </w:r>
          </w:p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освоения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1.2.</w:t>
            </w:r>
          </w:p>
          <w:p w:rsidR="00652681" w:rsidRPr="00D678B0" w:rsidRDefault="00652681" w:rsidP="00947C77">
            <w:pPr>
              <w:pStyle w:val="Bodytext1"/>
              <w:spacing w:line="264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Надёжность неремонтируемых и ремонтируемых технических систем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Разработка графика ППР электронных систем управле</w:t>
            </w:r>
            <w:r w:rsidRPr="00D678B0">
              <w:rPr>
                <w:rStyle w:val="Bodytext105pt"/>
                <w:color w:val="000000"/>
              </w:rPr>
              <w:softHyphen/>
              <w:t xml:space="preserve">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Разработка графика ППР механических узлов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</w:t>
            </w:r>
            <w:r w:rsidRPr="00D678B0">
              <w:rPr>
                <w:rStyle w:val="Bodytext105pt"/>
                <w:color w:val="000000"/>
              </w:rPr>
              <w:softHyphen/>
              <w:t>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1. Надёжность систем из последовательно и параллельно сое</w:t>
            </w:r>
            <w:r w:rsidRPr="00D678B0">
              <w:rPr>
                <w:rStyle w:val="Bodytext105pt"/>
                <w:color w:val="000000"/>
              </w:rPr>
              <w:softHyphen/>
              <w:t>динённых элементов. Надёжность последовательных систем при нормальном распределении нагрузки по однотипным подсистемам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Bodytext105pt"/>
                <w:color w:val="000000"/>
              </w:rPr>
              <w:t>4</w:t>
            </w:r>
            <w:r w:rsidRPr="00D678B0">
              <w:rPr>
                <w:rStyle w:val="Bodytext105pt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2. Оценка надёжности систем, построенных в виде цепи, и систем с резервированием. Расчёт надёжности систем по последовательно-параллельным логическим схемам. Выбор значений показателей надёжности элементов. Коэффициент</w:t>
            </w:r>
            <w:r w:rsidRPr="00D678B0">
              <w:rPr>
                <w:rStyle w:val="Bodytext105pt"/>
                <w:color w:val="000000"/>
              </w:rPr>
              <w:softHyphen/>
              <w:t>ный способ расчёта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/>
        </w:trPr>
        <w:tc>
          <w:tcPr>
            <w:tcW w:w="2977" w:type="dxa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3. Учёт цикличности работы аппаратуры. Применение форму</w:t>
            </w:r>
            <w:r w:rsidRPr="00D678B0">
              <w:rPr>
                <w:rStyle w:val="Bodytext105pt"/>
                <w:color w:val="000000"/>
              </w:rPr>
              <w:softHyphen/>
              <w:t>лы полной вероятности при расчёте надёжности систем. Пе</w:t>
            </w:r>
            <w:r w:rsidRPr="00D678B0">
              <w:rPr>
                <w:rStyle w:val="Bodytext105pt"/>
                <w:color w:val="000000"/>
              </w:rPr>
              <w:softHyphen/>
              <w:t>реход от логической схемы для расчёта надёжности к графу состояний системы. Логико-вероятностный метод расчёта надёжности систем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</w:tbl>
    <w:p w:rsidR="00652681" w:rsidRPr="00D678B0" w:rsidRDefault="00652681" w:rsidP="00652681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4743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647"/>
        <w:gridCol w:w="1418"/>
        <w:gridCol w:w="1701"/>
      </w:tblGrid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/>
        </w:trPr>
        <w:tc>
          <w:tcPr>
            <w:tcW w:w="2977" w:type="dxa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before="720"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1.3.</w:t>
            </w:r>
          </w:p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  <w:r w:rsidRPr="00D678B0">
              <w:rPr>
                <w:rStyle w:val="Bodytext105pt"/>
              </w:rPr>
              <w:t>Надёжность систем различных структур и методы расчёта показателей надёжности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4. Показатели надёжности приборов систем автоматизации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систем. Показатели надёжности настройки при</w:t>
            </w:r>
            <w:r w:rsidRPr="00D678B0">
              <w:rPr>
                <w:rStyle w:val="Bodytext105pt"/>
                <w:color w:val="000000"/>
              </w:rPr>
              <w:softHyphen/>
              <w:t xml:space="preserve">боров систем автоматизации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систем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266" w:firstLine="362"/>
            </w:pPr>
            <w:r w:rsidRPr="00D678B0">
              <w:rPr>
                <w:rStyle w:val="Bodytext105pt"/>
                <w:color w:val="000000"/>
              </w:rPr>
              <w:t>5. Показатели надёжности при грубых ошибках контроля. По</w:t>
            </w:r>
            <w:r w:rsidRPr="00D678B0">
              <w:rPr>
                <w:rStyle w:val="Bodytext105pt"/>
                <w:color w:val="000000"/>
              </w:rPr>
              <w:softHyphen/>
              <w:t>казатели ремонтопригодности за короткое время эксплуата</w:t>
            </w:r>
            <w:r w:rsidRPr="00D678B0">
              <w:rPr>
                <w:rStyle w:val="Bodytext105pt"/>
                <w:color w:val="000000"/>
              </w:rPr>
              <w:softHyphen/>
              <w:t>ции прибора.</w:t>
            </w:r>
          </w:p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266" w:firstLine="362"/>
            </w:pPr>
            <w:r w:rsidRPr="00D678B0">
              <w:rPr>
                <w:rStyle w:val="Bodytext105pt"/>
                <w:color w:val="000000"/>
              </w:rPr>
              <w:t xml:space="preserve">Показатели </w:t>
            </w:r>
            <w:proofErr w:type="spellStart"/>
            <w:r w:rsidRPr="00D678B0">
              <w:rPr>
                <w:rStyle w:val="Bodytext105pt"/>
                <w:color w:val="000000"/>
              </w:rPr>
              <w:t>точностной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надёжности и надёжности приборов при отказах функционирования. Показатели ремонтопригод</w:t>
            </w:r>
            <w:r w:rsidRPr="00D678B0">
              <w:rPr>
                <w:rStyle w:val="Bodytext105pt"/>
                <w:color w:val="000000"/>
              </w:rPr>
              <w:softHyphen/>
              <w:t>ности за длительный период эксплуатации приборов. Показа</w:t>
            </w:r>
            <w:r w:rsidRPr="00D678B0">
              <w:rPr>
                <w:rStyle w:val="Bodytext105pt"/>
                <w:color w:val="000000"/>
              </w:rPr>
              <w:softHyphen/>
              <w:t>тели сохраняемости и долговечности приборов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6. Надёжность электронных блоков систем управления. Безде</w:t>
            </w:r>
            <w:r w:rsidRPr="00D678B0">
              <w:rPr>
                <w:rStyle w:val="Bodytext105pt"/>
                <w:color w:val="000000"/>
              </w:rPr>
              <w:softHyphen/>
              <w:t>фектный технологический процесс сборки электронных бло</w:t>
            </w:r>
            <w:r w:rsidRPr="00D678B0">
              <w:rPr>
                <w:rStyle w:val="Bodytext105pt"/>
                <w:color w:val="000000"/>
              </w:rPr>
              <w:softHyphen/>
              <w:t xml:space="preserve">ков на печатных платах. Повышение надёжности электронных блоков путём введения процесса </w:t>
            </w:r>
            <w:proofErr w:type="spellStart"/>
            <w:r w:rsidRPr="00D678B0">
              <w:rPr>
                <w:rStyle w:val="Bodytext105pt"/>
                <w:color w:val="000000"/>
              </w:rPr>
              <w:t>электротермотренировки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Лабораторные работы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Определение полной вероятности безотказной работы системы управления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Определение полной вероятности безотказной работы ме</w:t>
            </w:r>
            <w:r w:rsidRPr="00D678B0">
              <w:rPr>
                <w:rStyle w:val="Bodytext105pt"/>
                <w:color w:val="000000"/>
              </w:rPr>
              <w:softHyphen/>
              <w:t xml:space="preserve">ханических узлов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9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Оценивание ремонтопригодности, сохраняемости и дол</w:t>
            </w:r>
            <w:r w:rsidRPr="00D678B0">
              <w:rPr>
                <w:rStyle w:val="Bodytext105pt"/>
                <w:color w:val="000000"/>
              </w:rPr>
              <w:softHyphen/>
              <w:t xml:space="preserve">говечности электронных блоков управления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26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Наименование разделов ПМ, МДК и 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21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Объём</w:t>
            </w:r>
          </w:p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Уровень</w:t>
            </w:r>
          </w:p>
          <w:p w:rsidR="00652681" w:rsidRPr="00D45F0B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освоения</w:t>
            </w: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1.3.</w:t>
            </w:r>
          </w:p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  <w:r w:rsidRPr="00D678B0">
              <w:rPr>
                <w:rStyle w:val="Bodytext105pt"/>
              </w:rPr>
              <w:t>Надёжность систем различных структур и методы расчёта показателей надёжности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Выполнение расчёта показателей надёжности систем из последовательно соединенных элементов.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Выполнение расчёта показателей надёжности систем из параллельно соединённых элементов.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9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Выполнение расчёта показателей надёжности систем, построенных в виде цепи, и систем с резервированием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652681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Самостоятельная работа обучающегося при изучении раздела 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652681">
            <w:pPr>
              <w:pStyle w:val="Bodytext1"/>
              <w:numPr>
                <w:ilvl w:val="0"/>
                <w:numId w:val="5"/>
              </w:numPr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Подготовка рефератов по теме «Назначение, состав и осо</w:t>
            </w:r>
            <w:r w:rsidRPr="00D678B0">
              <w:rPr>
                <w:rStyle w:val="Bodytext105pt"/>
                <w:color w:val="000000"/>
              </w:rPr>
              <w:softHyphen/>
              <w:t xml:space="preserve">бенности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систем как систем автоматическо</w:t>
            </w:r>
            <w:r w:rsidRPr="00D678B0">
              <w:rPr>
                <w:rStyle w:val="Bodytext105pt"/>
                <w:color w:val="000000"/>
              </w:rPr>
              <w:softHyphen/>
              <w:t>го управления. Обеспечение их надежности».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5"/>
              </w:numPr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Подготовка к лабораторным работам и практическим за</w:t>
            </w:r>
            <w:r w:rsidRPr="00D678B0">
              <w:rPr>
                <w:rStyle w:val="Bodytext105pt"/>
                <w:color w:val="000000"/>
              </w:rPr>
              <w:softHyphen/>
              <w:t>нятиям с использованием методических рекомендаций, оформление результатов лабораторных работ и практи</w:t>
            </w:r>
            <w:r w:rsidRPr="00D678B0">
              <w:rPr>
                <w:rStyle w:val="Bodytext105pt"/>
                <w:color w:val="000000"/>
              </w:rPr>
              <w:softHyphen/>
              <w:t>ческих занятий, отчётов и подготовка к их защите.</w:t>
            </w:r>
          </w:p>
          <w:p w:rsidR="00652681" w:rsidRPr="00D678B0" w:rsidRDefault="00652681" w:rsidP="00652681">
            <w:pPr>
              <w:pStyle w:val="Bodytext1"/>
              <w:numPr>
                <w:ilvl w:val="0"/>
                <w:numId w:val="5"/>
              </w:numPr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Работа с конспектами занятий, учебной и специальной технической литературой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Bodytext105pt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2681" w:rsidRPr="00D678B0" w:rsidRDefault="00652681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9B3568" w:rsidRDefault="009B3568">
      <w:bookmarkStart w:id="0" w:name="_GoBack"/>
      <w:bookmarkEnd w:id="0"/>
    </w:p>
    <w:sectPr w:rsidR="009B3568" w:rsidSect="006526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81"/>
    <w:rsid w:val="00652681"/>
    <w:rsid w:val="009B3568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8AA94-D32F-486C-B410-90C1EF6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68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link w:val="Bodytext1"/>
    <w:rsid w:val="00652681"/>
    <w:rPr>
      <w:rFonts w:ascii="Times New Roman" w:hAnsi="Times New Roman" w:cs="Times New Roman"/>
      <w:shd w:val="clear" w:color="auto" w:fill="FFFFFF"/>
    </w:rPr>
  </w:style>
  <w:style w:type="character" w:customStyle="1" w:styleId="Bodytext105pt">
    <w:name w:val="Body text + 10.5 pt"/>
    <w:rsid w:val="00652681"/>
    <w:rPr>
      <w:rFonts w:ascii="Times New Roman" w:hAnsi="Times New Roman" w:cs="Times New Roman"/>
      <w:sz w:val="21"/>
      <w:szCs w:val="21"/>
      <w:u w:val="none"/>
    </w:rPr>
  </w:style>
  <w:style w:type="character" w:customStyle="1" w:styleId="Bodytext105pt1">
    <w:name w:val="Body text + 10.5 pt1"/>
    <w:aliases w:val="Bold1,Italic"/>
    <w:rsid w:val="00652681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rsid w:val="00652681"/>
    <w:pPr>
      <w:shd w:val="clear" w:color="auto" w:fill="FFFFFF"/>
      <w:spacing w:line="283" w:lineRule="exact"/>
      <w:ind w:hanging="340"/>
    </w:pPr>
    <w:rPr>
      <w:rFonts w:ascii="Times New Roman" w:eastAsiaTheme="minorHAnsi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2017-10-23T19:57:00Z</dcterms:created>
  <dcterms:modified xsi:type="dcterms:W3CDTF">2017-10-23T19:58:00Z</dcterms:modified>
</cp:coreProperties>
</file>