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5929" w:rsidRDefault="00575929" w:rsidP="00575929">
      <w:pPr>
        <w:pStyle w:val="a4"/>
      </w:pPr>
      <w:r>
        <w:t>1. ОБЩИЕ СВЕДЕНИЯ О СХЕМАХ 1</w:t>
      </w:r>
    </w:p>
    <w:p w:rsidR="00575929" w:rsidRDefault="00575929" w:rsidP="00575929">
      <w:pPr>
        <w:pStyle w:val="a4"/>
      </w:pPr>
      <w:r>
        <w:t>2. КИНЕМАТИЧЕСКИЕ СХЕМЫ 3</w:t>
      </w:r>
    </w:p>
    <w:p w:rsidR="00575929" w:rsidRDefault="00575929" w:rsidP="00575929">
      <w:pPr>
        <w:pStyle w:val="a4"/>
      </w:pPr>
      <w:r>
        <w:t>3. УСЛОВНЫЕ ГРАФИЧЕСКИЕ ОБОЗНАЧЕНИЯ ДЛЯ ЭЛЕМЕНТОВ КИНЕМАТИЧЕСКИХ СХЕМ МАШИН И МЕХАНИЗМОВ 11</w:t>
      </w:r>
    </w:p>
    <w:p w:rsidR="00575929" w:rsidRDefault="00575929" w:rsidP="00575929">
      <w:pPr>
        <w:pStyle w:val="a4"/>
        <w:jc w:val="center"/>
      </w:pPr>
      <w:r>
        <w:t>ЛЕКЦИЯ 10</w:t>
      </w:r>
    </w:p>
    <w:p w:rsidR="00575929" w:rsidRDefault="00575929" w:rsidP="00575929">
      <w:pPr>
        <w:pStyle w:val="a4"/>
        <w:jc w:val="center"/>
      </w:pPr>
      <w:r>
        <w:t xml:space="preserve">ОБЩИЕ ПРАВИЛА ВЫПОЛНЕНИЯ СХЕМ </w:t>
      </w:r>
    </w:p>
    <w:p w:rsidR="00575929" w:rsidRDefault="00575929" w:rsidP="00575929">
      <w:pPr>
        <w:pStyle w:val="a4"/>
        <w:jc w:val="center"/>
      </w:pPr>
      <w:r>
        <w:t>1. ОБЩИЕ СВЕДЕНИЯ О СХЕМАХ</w:t>
      </w:r>
    </w:p>
    <w:p w:rsidR="00575929" w:rsidRDefault="00575929" w:rsidP="00575929">
      <w:pPr>
        <w:pStyle w:val="a4"/>
      </w:pPr>
      <w:r>
        <w:rPr>
          <w:b/>
          <w:bCs/>
        </w:rPr>
        <w:t>Схемы</w:t>
      </w:r>
      <w:r>
        <w:t xml:space="preserve"> — конструкторские документы, на которых составные части изделия, их взаимное расположение и связи между ними изображены условно — позволяют значительно быстрее (чем по чертежам) разобраться в принципе и последовательности действия элементов того или иного устройства. </w:t>
      </w:r>
    </w:p>
    <w:p w:rsidR="00575929" w:rsidRDefault="00575929" w:rsidP="00575929">
      <w:pPr>
        <w:pStyle w:val="a4"/>
      </w:pPr>
      <w:r>
        <w:t xml:space="preserve">Виды, типы и общие требования к выполнению схем установлены </w:t>
      </w:r>
      <w:proofErr w:type="spellStart"/>
      <w:r>
        <w:t>ГОСТом</w:t>
      </w:r>
      <w:proofErr w:type="spellEnd"/>
      <w:r>
        <w:t xml:space="preserve"> . 2.701 — 76. </w:t>
      </w:r>
    </w:p>
    <w:p w:rsidR="00575929" w:rsidRDefault="00575929" w:rsidP="00575929">
      <w:pPr>
        <w:pStyle w:val="a4"/>
      </w:pPr>
      <w:r>
        <w:t xml:space="preserve">В зависимости от элементов, входящих в состав изделия, и связей между ними схемы разделяют на следующие виды: кинематические (E), гидравлические (Г), пневматические (П) и электрические (Э). </w:t>
      </w:r>
    </w:p>
    <w:p w:rsidR="00575929" w:rsidRDefault="00575929" w:rsidP="00575929">
      <w:pPr>
        <w:pStyle w:val="a4"/>
      </w:pPr>
      <w:r>
        <w:t xml:space="preserve">В зависимости от основного назначения схемы делят на определенные типы, обозначаемые соответствующей цифрой: </w:t>
      </w:r>
    </w:p>
    <w:p w:rsidR="00575929" w:rsidRDefault="00575929" w:rsidP="00575929">
      <w:pPr>
        <w:pStyle w:val="a4"/>
      </w:pPr>
      <w:r>
        <w:t xml:space="preserve">структурные, служащие для общего ознакомления с изделием и определяющие состав и взаимосвязь основных элементов изделия и их назначение, — цифрой 1; </w:t>
      </w:r>
    </w:p>
    <w:p w:rsidR="00575929" w:rsidRDefault="00575929" w:rsidP="00575929">
      <w:pPr>
        <w:pStyle w:val="a4"/>
      </w:pPr>
      <w:r>
        <w:t xml:space="preserve">функциональные, поясняющие процессы, протекающие в изделии и его частях, — 2; </w:t>
      </w:r>
    </w:p>
    <w:p w:rsidR="00575929" w:rsidRDefault="00575929" w:rsidP="00575929">
      <w:pPr>
        <w:pStyle w:val="a4"/>
      </w:pPr>
      <w:r>
        <w:t xml:space="preserve">принципиальные, определяющие полный состав элементов изделия и связи между ними, — 3; </w:t>
      </w:r>
    </w:p>
    <w:p w:rsidR="00575929" w:rsidRDefault="00575929" w:rsidP="00575929">
      <w:pPr>
        <w:pStyle w:val="a4"/>
      </w:pPr>
      <w:r>
        <w:t>схемы соединений, показывающие соединения составных частей изделия и элементы этих соединений (провода, кабели, трубопроводы и т.п.), — 4;</w:t>
      </w:r>
    </w:p>
    <w:p w:rsidR="00575929" w:rsidRDefault="00575929" w:rsidP="00575929">
      <w:pPr>
        <w:pStyle w:val="a4"/>
      </w:pPr>
      <w:r>
        <w:t>схемы подключения, показывающие внешнее подключение изделия, — 5;</w:t>
      </w:r>
    </w:p>
    <w:p w:rsidR="00575929" w:rsidRDefault="00575929" w:rsidP="00575929">
      <w:pPr>
        <w:pStyle w:val="a4"/>
      </w:pPr>
      <w:r>
        <w:t xml:space="preserve">общие, определяющие составные части комплекса и соединения их между собой на месте эксплуатации, — 6; </w:t>
      </w:r>
    </w:p>
    <w:p w:rsidR="00575929" w:rsidRDefault="00575929" w:rsidP="00575929">
      <w:pPr>
        <w:pStyle w:val="a4"/>
      </w:pPr>
      <w:r>
        <w:t xml:space="preserve">схемы расположения, определяющие относительное расположение составных частей изделия, — 7. </w:t>
      </w:r>
    </w:p>
    <w:p w:rsidR="00575929" w:rsidRDefault="00575929" w:rsidP="00575929">
      <w:pPr>
        <w:pStyle w:val="a4"/>
      </w:pPr>
      <w:r>
        <w:t xml:space="preserve">Вид и тип схемы определяют ее наименование: например схема электрическая монтажная. </w:t>
      </w:r>
    </w:p>
    <w:p w:rsidR="00575929" w:rsidRDefault="00575929" w:rsidP="00575929">
      <w:pPr>
        <w:pStyle w:val="a4"/>
      </w:pPr>
      <w:r>
        <w:t xml:space="preserve">Шифр схемы, входящий в состав ее обозначения, состоит из буквы (вид схемы) и цифры (тип схемы), например шифр схемы электрической принципиальной — Э3. </w:t>
      </w:r>
    </w:p>
    <w:p w:rsidR="00575929" w:rsidRDefault="00575929" w:rsidP="00575929">
      <w:pPr>
        <w:pStyle w:val="a4"/>
      </w:pPr>
      <w:r>
        <w:lastRenderedPageBreak/>
        <w:t xml:space="preserve">Если в состав изделия входят элементы и связи различных видов, для него разрабатывают комбинированную схему, обозначаемую буквой С. Ее наименование определяется видами и типом, например схема электропневматическая принципиальная. </w:t>
      </w:r>
    </w:p>
    <w:p w:rsidR="00575929" w:rsidRDefault="00575929" w:rsidP="00575929">
      <w:pPr>
        <w:pStyle w:val="a4"/>
      </w:pPr>
      <w:r>
        <w:t xml:space="preserve">Схемы выполняют без соблюдения масштаба на листах стандартного фор- мата с основной надписью по форме 1. При этом действительное пространственное расположение составных частей изделия можно не учитывать. </w:t>
      </w:r>
    </w:p>
    <w:p w:rsidR="00575929" w:rsidRDefault="00575929" w:rsidP="00575929">
      <w:pPr>
        <w:pStyle w:val="a4"/>
      </w:pPr>
      <w:r>
        <w:t xml:space="preserve">Элементы изделия изображают в виде условных графических обозначений, устанавливаемых соответствующими стандартами ЕСКД. Связь между ними показывают линиями, условно представляющими собой валы, муфты, трубопроводы, кабели и т. п. </w:t>
      </w:r>
    </w:p>
    <w:p w:rsidR="00575929" w:rsidRDefault="00575929" w:rsidP="00575929">
      <w:pPr>
        <w:pStyle w:val="a4"/>
      </w:pPr>
      <w:r>
        <w:t xml:space="preserve">Схемы следует выполнять компактно, но не за счет ухудшения ясности и удобства их чтения. Количество изломов и пересечений линий связи должно быть минимальным. Элементы, составляющие отдельное устройство, на схеме выделяют штрихпунктирными линиями с указанием наименований этого устройства. </w:t>
      </w:r>
    </w:p>
    <w:p w:rsidR="00575929" w:rsidRDefault="00575929" w:rsidP="00575929">
      <w:pPr>
        <w:pStyle w:val="a4"/>
      </w:pPr>
      <w:r>
        <w:t xml:space="preserve">На схеме одного вида допускается изображать элементы схем других видов, непосредственно влияющих на работу изделия. Эти элементы и их связи изображают штриховыми линиями. </w:t>
      </w:r>
    </w:p>
    <w:p w:rsidR="00575929" w:rsidRDefault="00575929" w:rsidP="00575929">
      <w:pPr>
        <w:pStyle w:val="a4"/>
      </w:pPr>
      <w:r>
        <w:t xml:space="preserve">Схемам присваивают обозначение соответствующего им изделия. После обозначения следует записывать шифр схемы. Наименование схемы указывают в основной надписи после наименования изделия. </w:t>
      </w:r>
    </w:p>
    <w:p w:rsidR="00575929" w:rsidRDefault="00575929" w:rsidP="00575929">
      <w:pPr>
        <w:pStyle w:val="a4"/>
        <w:jc w:val="center"/>
      </w:pPr>
      <w:r>
        <w:t>2. КИНЕМАТИЧЕСКИЕ СХЕМЫ</w:t>
      </w:r>
    </w:p>
    <w:p w:rsidR="00575929" w:rsidRDefault="00575929" w:rsidP="00575929">
      <w:pPr>
        <w:pStyle w:val="a4"/>
      </w:pPr>
      <w:r>
        <w:t xml:space="preserve">В соответствии с </w:t>
      </w:r>
      <w:proofErr w:type="spellStart"/>
      <w:r>
        <w:t>ГОСТом</w:t>
      </w:r>
      <w:proofErr w:type="spellEnd"/>
      <w:r>
        <w:t xml:space="preserve"> 2.703 — 68 на кинематической схеме необходимо изображать всю совокупность кинематических элементов и их соединений, все кинематические связи между парами, цепями и т.п., а также связи с источниками движения. </w:t>
      </w:r>
    </w:p>
    <w:p w:rsidR="00575929" w:rsidRDefault="00575929" w:rsidP="00575929">
      <w:pPr>
        <w:pStyle w:val="a4"/>
      </w:pPr>
      <w:r>
        <w:t xml:space="preserve">Кинематическую схему изделия следует вычерчивать, как правило, в виде развертки. Допускается изображать схемы в аксонометрических проекциях и, не нарушая ясности схемы, переносить элементы вверх или вниз от их истинного положения, а также поворачивать их в положения, наиболее удобные для изображения. В этих случаях сопряженные звенья пары, вычерченные раздельно, следует соединять штриховой линией. </w:t>
      </w:r>
    </w:p>
    <w:p w:rsidR="00575929" w:rsidRDefault="00575929" w:rsidP="00575929">
      <w:pPr>
        <w:pStyle w:val="a4"/>
      </w:pPr>
      <w:r>
        <w:t xml:space="preserve">Все элементы схемы должны быть изображены условными графическими обозначениями по ГОСТУ 2.770 — 68 (рис. 10.1) или упрощенно внешними очертаниями. </w:t>
      </w:r>
    </w:p>
    <w:p w:rsidR="00575929" w:rsidRDefault="00575929" w:rsidP="00575929">
      <w:pPr>
        <w:pStyle w:val="a4"/>
      </w:pPr>
      <w:r>
        <w:t xml:space="preserve">Элементы схемы следует изображать: </w:t>
      </w:r>
    </w:p>
    <w:p w:rsidR="00575929" w:rsidRDefault="00575929" w:rsidP="00575929">
      <w:pPr>
        <w:pStyle w:val="a4"/>
      </w:pPr>
      <w:r>
        <w:t>валы, оси, стержни и т. п. — сплошными основными линиями толщиной S;</w:t>
      </w:r>
    </w:p>
    <w:p w:rsidR="00575929" w:rsidRDefault="00575929" w:rsidP="00575929">
      <w:pPr>
        <w:pStyle w:val="a4"/>
      </w:pPr>
      <w:r>
        <w:t xml:space="preserve">элементы, изображенные упрощенно внешними очертаниями (зубчатые колеса, червяки, шкивы, звездочки и т. п.), — сплошными тонкими линиями толщиной S/2; </w:t>
      </w:r>
    </w:p>
    <w:p w:rsidR="00575929" w:rsidRDefault="00575929" w:rsidP="00575929">
      <w:pPr>
        <w:pStyle w:val="a4"/>
      </w:pPr>
      <w:r>
        <w:t xml:space="preserve">контур изделия, в который вписана схема, — сплошными тонкими линиями толщиной S/3; </w:t>
      </w:r>
    </w:p>
    <w:p w:rsidR="00575929" w:rsidRDefault="00575929" w:rsidP="00575929">
      <w:pPr>
        <w:pStyle w:val="a4"/>
      </w:pPr>
      <w:r>
        <w:t xml:space="preserve">кинематические связи между сопряженными звеньями пары, вычерченными раздельно, — штриховыми линиями толщиной S/2; </w:t>
      </w:r>
    </w:p>
    <w:p w:rsidR="00575929" w:rsidRDefault="00575929" w:rsidP="00575929">
      <w:pPr>
        <w:pStyle w:val="a4"/>
      </w:pPr>
      <w:r>
        <w:lastRenderedPageBreak/>
        <w:t xml:space="preserve">крайние положения элемента, меняющего свое положение при работе изделия, — тонкими штрихпунктирными линиями с двумя точками; </w:t>
      </w:r>
    </w:p>
    <w:p w:rsidR="00575929" w:rsidRDefault="00575929" w:rsidP="00575929">
      <w:pPr>
        <w:pStyle w:val="a4"/>
      </w:pPr>
      <w:r>
        <w:t xml:space="preserve">валы или оси, закрытые другими элементами (невидимые), — штриховыми линиями. </w:t>
      </w:r>
    </w:p>
    <w:p w:rsidR="00575929" w:rsidRDefault="00575929" w:rsidP="00575929">
      <w:pPr>
        <w:pStyle w:val="a4"/>
      </w:pPr>
      <w:r>
        <w:t xml:space="preserve">Каждому кинематическому элементу следует присвоить порядковый номер, начиная от источника движения. Валы нумеруют римскими цифрами, остальные элементы — арабскими. Элементы покупных или заимствованных механизмов (например, редукторов) не нумеруют, порядковый номер присваивают всему механизму. </w:t>
      </w:r>
    </w:p>
    <w:p w:rsidR="00575929" w:rsidRDefault="00575929" w:rsidP="00575929">
      <w:pPr>
        <w:pStyle w:val="a4"/>
      </w:pPr>
      <w:r>
        <w:t xml:space="preserve">Порядковый номер проставляют на полке линии-выноске. Под полкой необходимо указывать основные характеристики и параметры кинематического элемента: </w:t>
      </w:r>
    </w:p>
    <w:p w:rsidR="00575929" w:rsidRDefault="00575929" w:rsidP="00575929">
      <w:pPr>
        <w:pStyle w:val="a4"/>
      </w:pPr>
      <w:r>
        <w:t>мощность электродвигателя, Вт и частоту вращения его вала, мин</w:t>
      </w:r>
      <w:r>
        <w:rPr>
          <w:vertAlign w:val="superscript"/>
        </w:rPr>
        <w:t>-1</w:t>
      </w:r>
      <w:r>
        <w:t xml:space="preserve"> (угловую скорость, рад/</w:t>
      </w:r>
      <w:proofErr w:type="spellStart"/>
      <w:r>
        <w:t>c</w:t>
      </w:r>
      <w:proofErr w:type="spellEnd"/>
      <w:r>
        <w:t xml:space="preserve">) или мощность и частоту вращения входного вала агрегата; </w:t>
      </w:r>
    </w:p>
    <w:p w:rsidR="00575929" w:rsidRDefault="00575929" w:rsidP="00575929">
      <w:pPr>
        <w:pStyle w:val="a4"/>
      </w:pPr>
      <w:r>
        <w:t>вращающий момент, Н·м, и частоту вращения, мин</w:t>
      </w:r>
      <w:r>
        <w:rPr>
          <w:vertAlign w:val="superscript"/>
        </w:rPr>
        <w:t>-1</w:t>
      </w:r>
      <w:r>
        <w:t xml:space="preserve"> выходного вала;</w:t>
      </w:r>
    </w:p>
    <w:p w:rsidR="00575929" w:rsidRDefault="00575929" w:rsidP="00575929">
      <w:pPr>
        <w:pStyle w:val="a4"/>
      </w:pPr>
      <w:r>
        <w:t xml:space="preserve">число и угол наклона зубьев и модуль зубчатых и червячных колес, а для червяка — число заходов, модуль и коэффициент диаметра; </w:t>
      </w:r>
    </w:p>
    <w:p w:rsidR="00575929" w:rsidRDefault="00575929" w:rsidP="00575929">
      <w:pPr>
        <w:pStyle w:val="a4"/>
      </w:pPr>
      <w:r>
        <w:t xml:space="preserve">диаметры шкивов ременной передачи; число зубьев звездочек и шаг цепи и т. п. </w:t>
      </w:r>
    </w:p>
    <w:p w:rsidR="00575929" w:rsidRDefault="00575929" w:rsidP="00575929">
      <w:pPr>
        <w:pStyle w:val="a4"/>
      </w:pPr>
      <w:r>
        <w:t xml:space="preserve">В случае перегруженности схемы изображениями связей и кинематических звеньев, характеристику элементов схемы можно указывать на поле чертежа — схемы в виде таблицы. В ней приводят полный перечень составных элементов. </w:t>
      </w:r>
    </w:p>
    <w:p w:rsidR="00575929" w:rsidRDefault="00575929" w:rsidP="00575929">
      <w:pPr>
        <w:pStyle w:val="a4"/>
      </w:pPr>
      <w:r>
        <w:t xml:space="preserve">Поясним некоторые моменты процесса чтения и выполнения кинематических схем, и, в первую очередь, с принятыми условностями при создании кинематических схем. </w:t>
      </w:r>
    </w:p>
    <w:p w:rsidR="00575929" w:rsidRDefault="00575929" w:rsidP="00575929">
      <w:pPr>
        <w:pStyle w:val="a4"/>
      </w:pPr>
      <w:r>
        <w:t xml:space="preserve">1. Кинематическую схему принято изображать в виде развертки. Что означает это слово применительно к кинематической схеме? </w:t>
      </w:r>
    </w:p>
    <w:p w:rsidR="00575929" w:rsidRDefault="00575929" w:rsidP="00575929">
      <w:pPr>
        <w:pStyle w:val="a4"/>
      </w:pPr>
      <w:r>
        <w:t xml:space="preserve">Дело в том, что пространственное расположение кинематических звеньев в механизме большей частью таково, что затрудняет их изображение на схеме, так как отдельные звенья заслоняют друг друга. </w:t>
      </w:r>
    </w:p>
    <w:p w:rsidR="00575929" w:rsidRDefault="00575929" w:rsidP="00575929">
      <w:pPr>
        <w:pStyle w:val="a4"/>
      </w:pPr>
      <w:r>
        <w:t xml:space="preserve">Это в свою очередь, приводит к непониманию или неправильному представлению о схеме. Чтобы избежать этого, в схемах применяют условный способ так называемых развернутых изображений. </w:t>
      </w:r>
    </w:p>
    <w:p w:rsidR="00575929" w:rsidRDefault="00575929" w:rsidP="00575929">
      <w:pPr>
        <w:pStyle w:val="a4"/>
      </w:pPr>
      <w:r>
        <w:t xml:space="preserve">На рис. 10.1, а показано изображение двух пар зубчатых колес. Так как на кинематических схемах зубчатые колеса принято изображать в виде прямоугольников, то нетрудно представить, что при данном пространственном расположении зубчатых колес их изображения будут попарно накладываться. </w:t>
      </w:r>
    </w:p>
    <w:p w:rsidR="00575929" w:rsidRDefault="00575929" w:rsidP="00575929">
      <w:pPr>
        <w:pStyle w:val="a4"/>
      </w:pPr>
      <w:r>
        <w:t xml:space="preserve">Для предотвращения таких накладок, в не зависимости от пространственного расположения кинематических звеньев в механизме, их принято изображать в развернутом виде, то есть оси вращения всех сопряженных зубчатых колес должны лежать в одной плоскости, параллельной плоскости изображения (см. рис. 10.1, б). </w:t>
      </w:r>
    </w:p>
    <w:p w:rsidR="00575929" w:rsidRDefault="00575929" w:rsidP="00575929">
      <w:pPr>
        <w:pStyle w:val="a4"/>
        <w:jc w:val="center"/>
      </w:pPr>
      <w:r>
        <w:rPr>
          <w:noProof/>
        </w:rPr>
        <w:lastRenderedPageBreak/>
        <w:drawing>
          <wp:inline distT="0" distB="0" distL="0" distR="0">
            <wp:extent cx="4333875" cy="3000375"/>
            <wp:effectExtent l="19050" t="0" r="9525" b="0"/>
            <wp:docPr id="7" name="Рисунок 7" descr="https://studfiles.net/html/2706/1154/html_WyZuQsWIZB.4ezH/img-Dq1Yb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tudfiles.net/html/2706/1154/html_WyZuQsWIZB.4ezH/img-Dq1Yb4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5929" w:rsidRDefault="00575929" w:rsidP="00575929">
      <w:pPr>
        <w:pStyle w:val="a4"/>
        <w:jc w:val="center"/>
      </w:pPr>
      <w:r>
        <w:t>Рис. 10. 1.</w:t>
      </w:r>
    </w:p>
    <w:p w:rsidR="00575929" w:rsidRDefault="00575929" w:rsidP="00575929">
      <w:pPr>
        <w:pStyle w:val="a4"/>
        <w:jc w:val="center"/>
      </w:pPr>
      <w:r>
        <w:t>Пример развертки кинематических звеньев в схеме.</w:t>
      </w:r>
    </w:p>
    <w:p w:rsidR="00575929" w:rsidRDefault="00575929" w:rsidP="00575929">
      <w:pPr>
        <w:pStyle w:val="a4"/>
      </w:pPr>
      <w:r>
        <w:t xml:space="preserve">2. Переход от конструктивной схемы к кинематической облегчает образное восприятие последней (рис. 10.2). Из этой схемы видно, что кривошип 1 имеет жесткую опору, которая отмечена толстой основной линией со штриховкой; поршень 2, изображенный на кинематической схеме в виде прямоугольника, имеет зазор со стенками цилиндра, которые, как неподвижные элементы, также имеют одностороннюю штриховку. Зазор свидетельствует о возможном возвратно-поступательном движении поршня. </w:t>
      </w:r>
    </w:p>
    <w:p w:rsidR="00575929" w:rsidRDefault="00575929" w:rsidP="00575929">
      <w:pPr>
        <w:pStyle w:val="a4"/>
        <w:jc w:val="center"/>
      </w:pPr>
      <w:r>
        <w:rPr>
          <w:noProof/>
        </w:rPr>
        <w:drawing>
          <wp:inline distT="0" distB="0" distL="0" distR="0">
            <wp:extent cx="2276475" cy="2714625"/>
            <wp:effectExtent l="19050" t="0" r="9525" b="0"/>
            <wp:docPr id="8" name="Рисунок 8" descr="https://studfiles.net/html/2706/1154/html_WyZuQsWIZB.4ezH/img-PgDCq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studfiles.net/html/2706/1154/html_WyZuQsWIZB.4ezH/img-PgDCqY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2714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5929" w:rsidRDefault="00575929" w:rsidP="00575929">
      <w:pPr>
        <w:pStyle w:val="a4"/>
        <w:jc w:val="center"/>
      </w:pPr>
      <w:r>
        <w:t>Рис. 10. 2.</w:t>
      </w:r>
    </w:p>
    <w:p w:rsidR="00575929" w:rsidRDefault="00575929" w:rsidP="00575929">
      <w:pPr>
        <w:pStyle w:val="a4"/>
        <w:jc w:val="center"/>
      </w:pPr>
      <w:r>
        <w:t>Конструктивная и кинематическая схемы двигателя внутреннего сгорания</w:t>
      </w:r>
    </w:p>
    <w:p w:rsidR="00575929" w:rsidRDefault="00575929" w:rsidP="00575929">
      <w:pPr>
        <w:pStyle w:val="a4"/>
      </w:pPr>
      <w:r>
        <w:t xml:space="preserve">3. На всех схемах валы и оси изображаются одинаковой толстой основной линией (рис. 10.3). Разница между ними следующая: </w:t>
      </w:r>
    </w:p>
    <w:p w:rsidR="00575929" w:rsidRDefault="00575929" w:rsidP="00575929">
      <w:pPr>
        <w:pStyle w:val="a4"/>
      </w:pPr>
      <w:r>
        <w:lastRenderedPageBreak/>
        <w:t xml:space="preserve">а) опоры валов изображают двумя черточками с промежутком по обе стопоры вала; поскольку валы вращаются вместе с насажанными и соединенными с ними шпонками зубчатыми колесами (шкивами), опорами служат подшипники скольжения либо подшипники качения. В тех случаях, когда нужно уточнить тип опор вала, стандартом предусмотрены специальные обозначения на базе приведенных черточек; </w:t>
      </w:r>
    </w:p>
    <w:p w:rsidR="00575929" w:rsidRDefault="00575929" w:rsidP="00575929">
      <w:pPr>
        <w:pStyle w:val="a4"/>
      </w:pPr>
      <w:r>
        <w:t xml:space="preserve">б) ось — неподвижное изделие, поэтому концы ее заделаны в неподвижные опоры, отмеченные на схеме отрезками прямых с односторонней штриховкой. Насажанное на ось зубчатое колесо свободно вращается при вращении ведомого колеса на валу. </w:t>
      </w:r>
    </w:p>
    <w:p w:rsidR="00575929" w:rsidRDefault="00575929" w:rsidP="00575929">
      <w:pPr>
        <w:pStyle w:val="a4"/>
        <w:jc w:val="center"/>
      </w:pPr>
      <w:r>
        <w:rPr>
          <w:noProof/>
        </w:rPr>
        <w:drawing>
          <wp:inline distT="0" distB="0" distL="0" distR="0">
            <wp:extent cx="2286000" cy="1962150"/>
            <wp:effectExtent l="19050" t="0" r="0" b="0"/>
            <wp:docPr id="9" name="Рисунок 9" descr="https://studfiles.net/html/2706/1154/html_WyZuQsWIZB.4ezH/img-0VD9x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studfiles.net/html/2706/1154/html_WyZuQsWIZB.4ezH/img-0VD9xb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962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5929" w:rsidRDefault="00575929" w:rsidP="00575929">
      <w:pPr>
        <w:pStyle w:val="a4"/>
        <w:jc w:val="center"/>
      </w:pPr>
      <w:r>
        <w:t>Рис. 10. 3.</w:t>
      </w:r>
    </w:p>
    <w:p w:rsidR="00575929" w:rsidRDefault="00575929" w:rsidP="00575929">
      <w:pPr>
        <w:pStyle w:val="a4"/>
        <w:jc w:val="center"/>
      </w:pPr>
      <w:r>
        <w:t>Валы и оси на кинематических схемах</w:t>
      </w:r>
    </w:p>
    <w:p w:rsidR="00575929" w:rsidRDefault="00575929" w:rsidP="00575929">
      <w:pPr>
        <w:pStyle w:val="a4"/>
      </w:pPr>
      <w:r>
        <w:t xml:space="preserve">4. Некоторые правила чтения кинематических схем: </w:t>
      </w:r>
    </w:p>
    <w:p w:rsidR="00575929" w:rsidRDefault="00575929" w:rsidP="00575929">
      <w:pPr>
        <w:pStyle w:val="a4"/>
      </w:pPr>
      <w:r>
        <w:t>а) большей частью ведущим зубчатым колесом (шкивом) является меньшее из сопряженной пары, а большее — ведомым (рис. 10.4). Указанные на схеме буквы n</w:t>
      </w:r>
      <w:r>
        <w:rPr>
          <w:vertAlign w:val="subscript"/>
        </w:rPr>
        <w:t>1</w:t>
      </w:r>
      <w:r>
        <w:t xml:space="preserve"> и n</w:t>
      </w:r>
      <w:r>
        <w:rPr>
          <w:vertAlign w:val="subscript"/>
        </w:rPr>
        <w:t>2</w:t>
      </w:r>
      <w:r>
        <w:t xml:space="preserve"> — обозначение передаточного числа или отношение частоты вращения </w:t>
      </w:r>
      <w:proofErr w:type="spellStart"/>
      <w:r>
        <w:t>n</w:t>
      </w:r>
      <w:proofErr w:type="spellEnd"/>
      <w:r>
        <w:t xml:space="preserve"> ведущего и ведомого колес: n</w:t>
      </w:r>
      <w:r>
        <w:rPr>
          <w:vertAlign w:val="subscript"/>
        </w:rPr>
        <w:t>1</w:t>
      </w:r>
      <w:r>
        <w:t>/n</w:t>
      </w:r>
      <w:r>
        <w:rPr>
          <w:vertAlign w:val="subscript"/>
        </w:rPr>
        <w:t>2</w:t>
      </w:r>
      <w:r>
        <w:t xml:space="preserve">; </w:t>
      </w:r>
    </w:p>
    <w:p w:rsidR="00575929" w:rsidRDefault="00575929" w:rsidP="00575929">
      <w:pPr>
        <w:pStyle w:val="a4"/>
        <w:jc w:val="center"/>
      </w:pPr>
      <w:r>
        <w:rPr>
          <w:noProof/>
        </w:rPr>
        <w:drawing>
          <wp:inline distT="0" distB="0" distL="0" distR="0">
            <wp:extent cx="2095500" cy="1609725"/>
            <wp:effectExtent l="19050" t="0" r="0" b="0"/>
            <wp:docPr id="10" name="Рисунок 10" descr="https://studfiles.net/html/2706/1154/html_WyZuQsWIZB.4ezH/img-eGg1o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studfiles.net/html/2706/1154/html_WyZuQsWIZB.4ezH/img-eGg1oF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609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5929" w:rsidRDefault="00575929" w:rsidP="00575929">
      <w:pPr>
        <w:pStyle w:val="a4"/>
        <w:jc w:val="center"/>
      </w:pPr>
      <w:r>
        <w:t>Рис. 10. 4.</w:t>
      </w:r>
    </w:p>
    <w:p w:rsidR="00575929" w:rsidRDefault="00575929" w:rsidP="00575929">
      <w:pPr>
        <w:pStyle w:val="a4"/>
        <w:jc w:val="center"/>
      </w:pPr>
      <w:r>
        <w:t>Вал ведущий и вал ведомый на кинематических схемах</w:t>
      </w:r>
    </w:p>
    <w:p w:rsidR="00575929" w:rsidRDefault="00575929" w:rsidP="00575929">
      <w:pPr>
        <w:pStyle w:val="a4"/>
      </w:pPr>
      <w:r>
        <w:t>б) на рис. 10.5 показана понижающая зубчатая передача, так как n</w:t>
      </w:r>
      <w:r>
        <w:rPr>
          <w:vertAlign w:val="subscript"/>
        </w:rPr>
        <w:t>1</w:t>
      </w:r>
      <w:r>
        <w:t xml:space="preserve"> &gt; n</w:t>
      </w:r>
      <w:r>
        <w:rPr>
          <w:vertAlign w:val="subscript"/>
        </w:rPr>
        <w:t>2</w:t>
      </w:r>
      <w:r>
        <w:t xml:space="preserve">. В зубчатой передаче сопряженные зубчатые колеса изготавливают одного модуля, поэтому большее из колес имеет больше зубьев. Передаточное отношение зубчатой передачи: </w:t>
      </w:r>
    </w:p>
    <w:p w:rsidR="00575929" w:rsidRDefault="00575929" w:rsidP="00575929">
      <w:pPr>
        <w:pStyle w:val="a4"/>
        <w:jc w:val="center"/>
      </w:pPr>
      <w:r>
        <w:t>i=Z</w:t>
      </w:r>
      <w:r>
        <w:rPr>
          <w:vertAlign w:val="subscript"/>
        </w:rPr>
        <w:t>1</w:t>
      </w:r>
      <w:r>
        <w:t>/Z</w:t>
      </w:r>
      <w:r>
        <w:rPr>
          <w:vertAlign w:val="subscript"/>
        </w:rPr>
        <w:t>2</w:t>
      </w:r>
      <w:r>
        <w:t>,</w:t>
      </w:r>
    </w:p>
    <w:p w:rsidR="00575929" w:rsidRDefault="00575929" w:rsidP="00575929">
      <w:pPr>
        <w:pStyle w:val="a4"/>
      </w:pPr>
      <w:r>
        <w:lastRenderedPageBreak/>
        <w:t>где Z</w:t>
      </w:r>
      <w:r>
        <w:rPr>
          <w:vertAlign w:val="subscript"/>
        </w:rPr>
        <w:t>1</w:t>
      </w:r>
      <w:r>
        <w:t xml:space="preserve"> и Z</w:t>
      </w:r>
      <w:r>
        <w:rPr>
          <w:vertAlign w:val="subscript"/>
        </w:rPr>
        <w:t>2</w:t>
      </w:r>
      <w:r>
        <w:t xml:space="preserve"> — числа зубьев зубчатых колес; </w:t>
      </w:r>
    </w:p>
    <w:p w:rsidR="00575929" w:rsidRDefault="00575929" w:rsidP="00575929">
      <w:pPr>
        <w:pStyle w:val="a4"/>
        <w:jc w:val="center"/>
      </w:pPr>
      <w:r>
        <w:rPr>
          <w:noProof/>
        </w:rPr>
        <w:drawing>
          <wp:inline distT="0" distB="0" distL="0" distR="0">
            <wp:extent cx="1743075" cy="1181100"/>
            <wp:effectExtent l="19050" t="0" r="9525" b="0"/>
            <wp:docPr id="11" name="Рисунок 11" descr="https://studfiles.net/html/2706/1154/html_WyZuQsWIZB.4ezH/img-3Xsko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studfiles.net/html/2706/1154/html_WyZuQsWIZB.4ezH/img-3XskoD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5929" w:rsidRDefault="00575929" w:rsidP="00575929">
      <w:pPr>
        <w:pStyle w:val="a4"/>
        <w:jc w:val="center"/>
      </w:pPr>
      <w:r>
        <w:t>Рис. 10. 5.</w:t>
      </w:r>
    </w:p>
    <w:p w:rsidR="00575929" w:rsidRDefault="00575929" w:rsidP="00575929">
      <w:pPr>
        <w:pStyle w:val="a4"/>
        <w:jc w:val="center"/>
      </w:pPr>
      <w:r>
        <w:t>Понижающая зубчатая передача</w:t>
      </w:r>
    </w:p>
    <w:p w:rsidR="00575929" w:rsidRDefault="00575929" w:rsidP="00575929">
      <w:pPr>
        <w:pStyle w:val="a4"/>
      </w:pPr>
      <w:r>
        <w:t>в) на рис. 10.6 показана повышающая передача, так как n</w:t>
      </w:r>
      <w:r>
        <w:rPr>
          <w:vertAlign w:val="subscript"/>
        </w:rPr>
        <w:t>1</w:t>
      </w:r>
      <w:r>
        <w:t xml:space="preserve"> &lt; n</w:t>
      </w:r>
      <w:r>
        <w:rPr>
          <w:vertAlign w:val="subscript"/>
        </w:rPr>
        <w:t>2</w:t>
      </w:r>
      <w:r>
        <w:t xml:space="preserve">; </w:t>
      </w:r>
    </w:p>
    <w:p w:rsidR="00575929" w:rsidRDefault="00575929" w:rsidP="00575929">
      <w:pPr>
        <w:pStyle w:val="a4"/>
      </w:pPr>
      <w:r>
        <w:t xml:space="preserve">г) на рис. 10.7 изображены передачи на три скорости: ступенчато-шкивная передача с плоским ремнем и коробка передач с подвижным блоком зубчатых колес. </w:t>
      </w:r>
    </w:p>
    <w:p w:rsidR="00575929" w:rsidRDefault="00575929" w:rsidP="00575929">
      <w:pPr>
        <w:pStyle w:val="a4"/>
      </w:pPr>
      <w:r>
        <w:t>В ременной передаче для использования одного ремня на всех ступенях предусмотрено условие: d</w:t>
      </w:r>
      <w:r>
        <w:rPr>
          <w:vertAlign w:val="subscript"/>
        </w:rPr>
        <w:t>1</w:t>
      </w:r>
      <w:r>
        <w:t>+d</w:t>
      </w:r>
      <w:r>
        <w:rPr>
          <w:vertAlign w:val="subscript"/>
        </w:rPr>
        <w:t>2</w:t>
      </w:r>
      <w:r>
        <w:t>=d</w:t>
      </w:r>
      <w:r>
        <w:rPr>
          <w:vertAlign w:val="subscript"/>
        </w:rPr>
        <w:t>3</w:t>
      </w:r>
      <w:r>
        <w:t>+d</w:t>
      </w:r>
      <w:r>
        <w:rPr>
          <w:vertAlign w:val="subscript"/>
        </w:rPr>
        <w:t>4</w:t>
      </w:r>
      <w:r>
        <w:t>=d</w:t>
      </w:r>
      <w:r>
        <w:rPr>
          <w:vertAlign w:val="subscript"/>
        </w:rPr>
        <w:t>5</w:t>
      </w:r>
      <w:r>
        <w:t>+d</w:t>
      </w:r>
      <w:r>
        <w:rPr>
          <w:vertAlign w:val="subscript"/>
        </w:rPr>
        <w:t>6</w:t>
      </w:r>
      <w:r>
        <w:t>, где d</w:t>
      </w:r>
      <w:r>
        <w:rPr>
          <w:vertAlign w:val="subscript"/>
        </w:rPr>
        <w:t>1</w:t>
      </w:r>
      <w:r>
        <w:t>, d</w:t>
      </w:r>
      <w:r>
        <w:rPr>
          <w:vertAlign w:val="subscript"/>
        </w:rPr>
        <w:t>2</w:t>
      </w:r>
      <w:r>
        <w:t>, d</w:t>
      </w:r>
      <w:r>
        <w:rPr>
          <w:vertAlign w:val="subscript"/>
        </w:rPr>
        <w:t>3</w:t>
      </w:r>
      <w:r>
        <w:t>, d</w:t>
      </w:r>
      <w:r>
        <w:rPr>
          <w:vertAlign w:val="subscript"/>
        </w:rPr>
        <w:t>4</w:t>
      </w:r>
      <w:r>
        <w:t>, d</w:t>
      </w:r>
      <w:r>
        <w:rPr>
          <w:vertAlign w:val="subscript"/>
        </w:rPr>
        <w:t>5</w:t>
      </w:r>
      <w:r>
        <w:t>, d</w:t>
      </w:r>
      <w:r>
        <w:rPr>
          <w:vertAlign w:val="subscript"/>
        </w:rPr>
        <w:t>6</w:t>
      </w:r>
      <w:r>
        <w:t xml:space="preserve"> — диаметры шкивов в мм. </w:t>
      </w:r>
    </w:p>
    <w:p w:rsidR="00575929" w:rsidRDefault="00575929" w:rsidP="00575929">
      <w:pPr>
        <w:pStyle w:val="a4"/>
      </w:pPr>
      <w:r>
        <w:t>Вращение передается с вала I на вал II (</w:t>
      </w:r>
      <w:proofErr w:type="spellStart"/>
      <w:r>
        <w:t>n</w:t>
      </w:r>
      <w:r>
        <w:rPr>
          <w:vertAlign w:val="subscript"/>
        </w:rPr>
        <w:t>I</w:t>
      </w:r>
      <w:proofErr w:type="spellEnd"/>
      <w:r>
        <w:t xml:space="preserve"> и </w:t>
      </w:r>
      <w:proofErr w:type="spellStart"/>
      <w:r>
        <w:t>n</w:t>
      </w:r>
      <w:r>
        <w:rPr>
          <w:vertAlign w:val="subscript"/>
        </w:rPr>
        <w:t>II</w:t>
      </w:r>
      <w:proofErr w:type="spellEnd"/>
      <w:r>
        <w:t xml:space="preserve">). </w:t>
      </w:r>
    </w:p>
    <w:p w:rsidR="00575929" w:rsidRDefault="00575929" w:rsidP="00575929">
      <w:pPr>
        <w:pStyle w:val="a4"/>
      </w:pPr>
      <w:r>
        <w:t xml:space="preserve">Частота вращения: </w:t>
      </w:r>
    </w:p>
    <w:p w:rsidR="00575929" w:rsidRDefault="00575929" w:rsidP="00575929">
      <w:pPr>
        <w:pStyle w:val="a4"/>
        <w:jc w:val="center"/>
      </w:pPr>
      <w:proofErr w:type="spellStart"/>
      <w:r>
        <w:t>n</w:t>
      </w:r>
      <w:r>
        <w:rPr>
          <w:vertAlign w:val="subscript"/>
        </w:rPr>
        <w:t>II</w:t>
      </w:r>
      <w:r>
        <w:t>=n</w:t>
      </w:r>
      <w:r>
        <w:rPr>
          <w:vertAlign w:val="subscript"/>
        </w:rPr>
        <w:t>I</w:t>
      </w:r>
      <w:proofErr w:type="spellEnd"/>
      <w:r>
        <w:t>·d</w:t>
      </w:r>
      <w:r>
        <w:rPr>
          <w:vertAlign w:val="subscript"/>
        </w:rPr>
        <w:t>1</w:t>
      </w:r>
      <w:r>
        <w:t>/d</w:t>
      </w:r>
      <w:r>
        <w:rPr>
          <w:vertAlign w:val="subscript"/>
        </w:rPr>
        <w:t>2</w:t>
      </w:r>
      <w:r>
        <w:t xml:space="preserve">; </w:t>
      </w:r>
      <w:proofErr w:type="spellStart"/>
      <w:r>
        <w:t>n</w:t>
      </w:r>
      <w:r>
        <w:rPr>
          <w:vertAlign w:val="subscript"/>
        </w:rPr>
        <w:t>II</w:t>
      </w:r>
      <w:r>
        <w:t>=n</w:t>
      </w:r>
      <w:r>
        <w:rPr>
          <w:vertAlign w:val="subscript"/>
        </w:rPr>
        <w:t>I</w:t>
      </w:r>
      <w:proofErr w:type="spellEnd"/>
      <w:r>
        <w:t>·d</w:t>
      </w:r>
      <w:r>
        <w:rPr>
          <w:vertAlign w:val="subscript"/>
        </w:rPr>
        <w:t>3</w:t>
      </w:r>
      <w:r>
        <w:t>/d</w:t>
      </w:r>
      <w:r>
        <w:rPr>
          <w:vertAlign w:val="subscript"/>
        </w:rPr>
        <w:t>4</w:t>
      </w:r>
      <w:r>
        <w:t xml:space="preserve">; </w:t>
      </w:r>
      <w:proofErr w:type="spellStart"/>
      <w:r>
        <w:t>n</w:t>
      </w:r>
      <w:r>
        <w:rPr>
          <w:vertAlign w:val="subscript"/>
        </w:rPr>
        <w:t>II</w:t>
      </w:r>
      <w:r>
        <w:t>=n</w:t>
      </w:r>
      <w:r>
        <w:rPr>
          <w:vertAlign w:val="subscript"/>
        </w:rPr>
        <w:t>I</w:t>
      </w:r>
      <w:proofErr w:type="spellEnd"/>
      <w:r>
        <w:t>·d</w:t>
      </w:r>
      <w:r>
        <w:rPr>
          <w:vertAlign w:val="subscript"/>
        </w:rPr>
        <w:t>5</w:t>
      </w:r>
      <w:r>
        <w:t>/d</w:t>
      </w:r>
      <w:r>
        <w:rPr>
          <w:vertAlign w:val="subscript"/>
        </w:rPr>
        <w:t>6</w:t>
      </w:r>
      <w:r>
        <w:t xml:space="preserve"> .</w:t>
      </w:r>
    </w:p>
    <w:p w:rsidR="00575929" w:rsidRDefault="00575929" w:rsidP="00575929">
      <w:pPr>
        <w:pStyle w:val="a4"/>
        <w:jc w:val="center"/>
      </w:pPr>
      <w:r>
        <w:rPr>
          <w:noProof/>
        </w:rPr>
        <w:drawing>
          <wp:inline distT="0" distB="0" distL="0" distR="0">
            <wp:extent cx="1790700" cy="1400175"/>
            <wp:effectExtent l="19050" t="0" r="0" b="0"/>
            <wp:docPr id="12" name="Рисунок 12" descr="https://studfiles.net/html/2706/1154/html_WyZuQsWIZB.4ezH/img-XWZe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studfiles.net/html/2706/1154/html_WyZuQsWIZB.4ezH/img-XWZeGO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5929" w:rsidRDefault="00575929" w:rsidP="00575929">
      <w:pPr>
        <w:pStyle w:val="a4"/>
        <w:jc w:val="center"/>
      </w:pPr>
      <w:r>
        <w:t>Рис. 10. 6.</w:t>
      </w:r>
    </w:p>
    <w:p w:rsidR="00575929" w:rsidRDefault="00575929" w:rsidP="00575929">
      <w:pPr>
        <w:pStyle w:val="a4"/>
        <w:jc w:val="center"/>
      </w:pPr>
      <w:r>
        <w:t>Повышающая зубчатая передача</w:t>
      </w:r>
    </w:p>
    <w:p w:rsidR="00575929" w:rsidRDefault="00575929" w:rsidP="00575929">
      <w:pPr>
        <w:pStyle w:val="a4"/>
        <w:jc w:val="center"/>
      </w:pPr>
      <w:r>
        <w:rPr>
          <w:noProof/>
        </w:rPr>
        <w:lastRenderedPageBreak/>
        <w:drawing>
          <wp:inline distT="0" distB="0" distL="0" distR="0">
            <wp:extent cx="4048125" cy="2495550"/>
            <wp:effectExtent l="19050" t="0" r="9525" b="0"/>
            <wp:docPr id="13" name="Рисунок 13" descr="https://studfiles.net/html/2706/1154/html_WyZuQsWIZB.4ezH/img-H5fwe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studfiles.net/html/2706/1154/html_WyZuQsWIZB.4ezH/img-H5fwej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2495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5929" w:rsidRDefault="00575929" w:rsidP="00575929">
      <w:pPr>
        <w:pStyle w:val="a4"/>
        <w:jc w:val="center"/>
      </w:pPr>
      <w:r>
        <w:t>Рис. 10. 7.</w:t>
      </w:r>
    </w:p>
    <w:p w:rsidR="00575929" w:rsidRDefault="00575929" w:rsidP="00575929">
      <w:pPr>
        <w:pStyle w:val="a4"/>
        <w:jc w:val="center"/>
      </w:pPr>
      <w:r>
        <w:t>Трехскоростные передачи</w:t>
      </w:r>
    </w:p>
    <w:p w:rsidR="00575929" w:rsidRDefault="00575929" w:rsidP="00575929">
      <w:pPr>
        <w:pStyle w:val="a4"/>
      </w:pPr>
      <w:r>
        <w:t>На рис. 10.7, б приведена коробка передач на три скорости вращения с передвижным блоком зубчатых колес Z</w:t>
      </w:r>
      <w:r>
        <w:rPr>
          <w:vertAlign w:val="subscript"/>
        </w:rPr>
        <w:t>1</w:t>
      </w:r>
      <w:r>
        <w:t xml:space="preserve"> — Z</w:t>
      </w:r>
      <w:r>
        <w:rPr>
          <w:vertAlign w:val="subscript"/>
        </w:rPr>
        <w:t>3</w:t>
      </w:r>
      <w:r>
        <w:t xml:space="preserve"> — Z</w:t>
      </w:r>
      <w:r>
        <w:rPr>
          <w:vertAlign w:val="subscript"/>
        </w:rPr>
        <w:t>5</w:t>
      </w:r>
      <w:r>
        <w:t xml:space="preserve">, которые могут перемещаться по шпонке вала I; на валу II колеса жестко соединены с валом шпонками. </w:t>
      </w:r>
    </w:p>
    <w:p w:rsidR="00575929" w:rsidRDefault="00575929" w:rsidP="00575929">
      <w:pPr>
        <w:pStyle w:val="a4"/>
      </w:pPr>
      <w:r>
        <w:t xml:space="preserve">Частота вращения вала II: </w:t>
      </w:r>
    </w:p>
    <w:p w:rsidR="00575929" w:rsidRDefault="00575929" w:rsidP="00575929">
      <w:pPr>
        <w:pStyle w:val="a4"/>
        <w:jc w:val="center"/>
      </w:pPr>
      <w:proofErr w:type="spellStart"/>
      <w:r>
        <w:t>n</w:t>
      </w:r>
      <w:r>
        <w:rPr>
          <w:vertAlign w:val="subscript"/>
        </w:rPr>
        <w:t>II</w:t>
      </w:r>
      <w:r>
        <w:t>=n</w:t>
      </w:r>
      <w:r>
        <w:rPr>
          <w:vertAlign w:val="subscript"/>
        </w:rPr>
        <w:t>I</w:t>
      </w:r>
      <w:proofErr w:type="spellEnd"/>
      <w:r>
        <w:t>·Z</w:t>
      </w:r>
      <w:r>
        <w:rPr>
          <w:vertAlign w:val="subscript"/>
        </w:rPr>
        <w:t>1</w:t>
      </w:r>
      <w:r>
        <w:t>/Z</w:t>
      </w:r>
      <w:r>
        <w:rPr>
          <w:vertAlign w:val="subscript"/>
        </w:rPr>
        <w:t>2</w:t>
      </w:r>
      <w:r>
        <w:t xml:space="preserve">; </w:t>
      </w:r>
      <w:proofErr w:type="spellStart"/>
      <w:r>
        <w:t>n</w:t>
      </w:r>
      <w:r>
        <w:rPr>
          <w:vertAlign w:val="subscript"/>
        </w:rPr>
        <w:t>II</w:t>
      </w:r>
      <w:r>
        <w:t>=n</w:t>
      </w:r>
      <w:r>
        <w:rPr>
          <w:vertAlign w:val="subscript"/>
        </w:rPr>
        <w:t>I</w:t>
      </w:r>
      <w:proofErr w:type="spellEnd"/>
      <w:r>
        <w:t>·Z</w:t>
      </w:r>
      <w:r>
        <w:rPr>
          <w:vertAlign w:val="subscript"/>
        </w:rPr>
        <w:t>3</w:t>
      </w:r>
      <w:r>
        <w:t>/Z</w:t>
      </w:r>
      <w:r>
        <w:rPr>
          <w:vertAlign w:val="subscript"/>
        </w:rPr>
        <w:t>4</w:t>
      </w:r>
      <w:r>
        <w:t xml:space="preserve">; </w:t>
      </w:r>
      <w:proofErr w:type="spellStart"/>
      <w:r>
        <w:t>n</w:t>
      </w:r>
      <w:r>
        <w:rPr>
          <w:vertAlign w:val="subscript"/>
        </w:rPr>
        <w:t>II</w:t>
      </w:r>
      <w:r>
        <w:t>=n</w:t>
      </w:r>
      <w:r>
        <w:rPr>
          <w:vertAlign w:val="subscript"/>
        </w:rPr>
        <w:t>I</w:t>
      </w:r>
      <w:proofErr w:type="spellEnd"/>
      <w:r>
        <w:t>·Z</w:t>
      </w:r>
      <w:r>
        <w:rPr>
          <w:vertAlign w:val="subscript"/>
        </w:rPr>
        <w:t>5</w:t>
      </w:r>
      <w:r>
        <w:t>/Z</w:t>
      </w:r>
      <w:r>
        <w:rPr>
          <w:vertAlign w:val="subscript"/>
        </w:rPr>
        <w:t>6</w:t>
      </w:r>
      <w:r>
        <w:t xml:space="preserve"> .</w:t>
      </w:r>
    </w:p>
    <w:p w:rsidR="00575929" w:rsidRDefault="00575929" w:rsidP="00575929">
      <w:pPr>
        <w:pStyle w:val="a4"/>
      </w:pPr>
      <w:r>
        <w:t>где Z</w:t>
      </w:r>
      <w:r>
        <w:rPr>
          <w:vertAlign w:val="subscript"/>
        </w:rPr>
        <w:t>1</w:t>
      </w:r>
      <w:r>
        <w:t>, Z</w:t>
      </w:r>
      <w:r>
        <w:rPr>
          <w:vertAlign w:val="subscript"/>
        </w:rPr>
        <w:t>2</w:t>
      </w:r>
      <w:r>
        <w:t>, Z</w:t>
      </w:r>
      <w:r>
        <w:rPr>
          <w:vertAlign w:val="subscript"/>
        </w:rPr>
        <w:t>3</w:t>
      </w:r>
      <w:r>
        <w:t>, ..., Z</w:t>
      </w:r>
      <w:r>
        <w:rPr>
          <w:vertAlign w:val="subscript"/>
        </w:rPr>
        <w:t>6</w:t>
      </w:r>
      <w:r>
        <w:t xml:space="preserve"> — число зубьев колес. </w:t>
      </w:r>
    </w:p>
    <w:p w:rsidR="00575929" w:rsidRDefault="00575929" w:rsidP="00575929">
      <w:pPr>
        <w:pStyle w:val="a4"/>
      </w:pPr>
      <w:r>
        <w:t xml:space="preserve">Так как зубчатые колеса одного модуля, то </w:t>
      </w:r>
    </w:p>
    <w:p w:rsidR="00575929" w:rsidRDefault="00575929" w:rsidP="00575929">
      <w:pPr>
        <w:pStyle w:val="a4"/>
        <w:jc w:val="center"/>
      </w:pPr>
      <w:r>
        <w:t>Z</w:t>
      </w:r>
      <w:r>
        <w:rPr>
          <w:vertAlign w:val="subscript"/>
        </w:rPr>
        <w:t>1</w:t>
      </w:r>
      <w:r>
        <w:t>+Z</w:t>
      </w:r>
      <w:r>
        <w:rPr>
          <w:vertAlign w:val="subscript"/>
        </w:rPr>
        <w:t>2</w:t>
      </w:r>
      <w:r>
        <w:t>=Z</w:t>
      </w:r>
      <w:r>
        <w:rPr>
          <w:vertAlign w:val="subscript"/>
        </w:rPr>
        <w:t>3</w:t>
      </w:r>
      <w:r>
        <w:t>+Z</w:t>
      </w:r>
      <w:r>
        <w:rPr>
          <w:vertAlign w:val="subscript"/>
        </w:rPr>
        <w:t>4</w:t>
      </w:r>
      <w:r>
        <w:t>= Z</w:t>
      </w:r>
      <w:r>
        <w:rPr>
          <w:vertAlign w:val="subscript"/>
        </w:rPr>
        <w:t>5</w:t>
      </w:r>
      <w:r>
        <w:t>+Z</w:t>
      </w:r>
      <w:r>
        <w:rPr>
          <w:vertAlign w:val="subscript"/>
        </w:rPr>
        <w:t>6</w:t>
      </w:r>
      <w:r>
        <w:t>.</w:t>
      </w:r>
    </w:p>
    <w:p w:rsidR="00575929" w:rsidRDefault="00575929" w:rsidP="00575929">
      <w:pPr>
        <w:pStyle w:val="a4"/>
      </w:pPr>
      <w:r>
        <w:t>5. Следует отметить, что «</w:t>
      </w:r>
      <w:proofErr w:type="spellStart"/>
      <w:r>
        <w:t>безмасштабность</w:t>
      </w:r>
      <w:proofErr w:type="spellEnd"/>
      <w:r>
        <w:t xml:space="preserve">» схем — относительный признак. Так, для принципиальных кинематических схем соотношение размеров условных графических обозначений взаимодействующих элементов должно на схеме примерно соответствовать действительному соотношению размеров этих элементов. </w:t>
      </w:r>
    </w:p>
    <w:p w:rsidR="00575929" w:rsidRDefault="00575929" w:rsidP="00575929">
      <w:pPr>
        <w:pStyle w:val="a4"/>
      </w:pPr>
      <w:r>
        <w:t xml:space="preserve">Это видно из рассмотрения принципиальных кинематических схем конического дифференциала </w:t>
      </w:r>
      <w:proofErr w:type="spellStart"/>
      <w:r>
        <w:t>зубофрезерного</w:t>
      </w:r>
      <w:proofErr w:type="spellEnd"/>
      <w:r>
        <w:t xml:space="preserve"> станка, изображенного в ортогональной и аксонометрической проекциях (см. рис. 10.8). На этих схемах геометрические размеры конических шестерен 3...6 одинаковы. </w:t>
      </w:r>
    </w:p>
    <w:p w:rsidR="00575929" w:rsidRDefault="00575929" w:rsidP="00575929">
      <w:pPr>
        <w:pStyle w:val="a4"/>
        <w:jc w:val="center"/>
      </w:pPr>
      <w:r>
        <w:rPr>
          <w:noProof/>
        </w:rPr>
        <w:lastRenderedPageBreak/>
        <w:drawing>
          <wp:inline distT="0" distB="0" distL="0" distR="0">
            <wp:extent cx="4810125" cy="2257425"/>
            <wp:effectExtent l="19050" t="0" r="9525" b="0"/>
            <wp:docPr id="14" name="Рисунок 14" descr="https://studfiles.net/html/2706/1154/html_WyZuQsWIZB.4ezH/img-CMnk2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studfiles.net/html/2706/1154/html_WyZuQsWIZB.4ezH/img-CMnk2T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2257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5929" w:rsidRDefault="00575929" w:rsidP="00575929">
      <w:pPr>
        <w:pStyle w:val="a4"/>
        <w:jc w:val="center"/>
      </w:pPr>
      <w:r>
        <w:t>Рис. 10. 8.</w:t>
      </w:r>
    </w:p>
    <w:p w:rsidR="00575929" w:rsidRDefault="00575929" w:rsidP="00575929">
      <w:pPr>
        <w:pStyle w:val="a4"/>
        <w:jc w:val="center"/>
      </w:pPr>
      <w:r>
        <w:t>Кинематическая принципиальная схема конического дифференциала:</w:t>
      </w:r>
    </w:p>
    <w:p w:rsidR="00575929" w:rsidRDefault="00575929" w:rsidP="00575929">
      <w:pPr>
        <w:pStyle w:val="a4"/>
        <w:jc w:val="center"/>
      </w:pPr>
      <w:r>
        <w:t>а – ортогональная проекция; аксонометрическая проекция.</w:t>
      </w:r>
    </w:p>
    <w:p w:rsidR="00575929" w:rsidRDefault="00575929" w:rsidP="00575929">
      <w:pPr>
        <w:pStyle w:val="a4"/>
      </w:pPr>
      <w:r>
        <w:t xml:space="preserve">На рис. 10.9 приведен пример принципиальной кинематической схемы, которая состоит из условных графических обозначений элементов, связей между ними и буквенно-цифровых позиционных обозначений элементов, а также составных элементов схемы, выполненных в виде таблицы. По изображению можно представить последовательность передачи движения от двигателя к исполнительному устройству. В таблице приведены обозначения составных элементов, их объяснения и параметры. </w:t>
      </w:r>
    </w:p>
    <w:p w:rsidR="00575929" w:rsidRDefault="00575929" w:rsidP="00575929">
      <w:pPr>
        <w:pStyle w:val="a4"/>
        <w:jc w:val="center"/>
      </w:pPr>
      <w:r>
        <w:rPr>
          <w:noProof/>
        </w:rPr>
        <w:drawing>
          <wp:inline distT="0" distB="0" distL="0" distR="0">
            <wp:extent cx="6296025" cy="4086225"/>
            <wp:effectExtent l="19050" t="0" r="9525" b="0"/>
            <wp:docPr id="15" name="Рисунок 15" descr="https://studfiles.net/html/2706/1154/html_WyZuQsWIZB.4ezH/img-Usyk8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studfiles.net/html/2706/1154/html_WyZuQsWIZB.4ezH/img-Usyk8Z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408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5929" w:rsidRDefault="00575929" w:rsidP="00575929">
      <w:pPr>
        <w:pStyle w:val="a4"/>
        <w:jc w:val="center"/>
      </w:pPr>
      <w:r>
        <w:t>Рис. 10. 9.</w:t>
      </w:r>
    </w:p>
    <w:p w:rsidR="00575929" w:rsidRDefault="00575929" w:rsidP="00575929">
      <w:pPr>
        <w:pStyle w:val="a4"/>
        <w:jc w:val="center"/>
      </w:pPr>
      <w:r>
        <w:lastRenderedPageBreak/>
        <w:t>Пример кинематической принципиальной схемы</w:t>
      </w:r>
    </w:p>
    <w:p w:rsidR="00575929" w:rsidRDefault="00575929" w:rsidP="00575929">
      <w:pPr>
        <w:pStyle w:val="a4"/>
        <w:jc w:val="center"/>
      </w:pPr>
      <w:r>
        <w:t>3. УСЛОВНЫЕ ГРАФИЧЕСКИЕ ОБОЗНАЧЕНИЯ ДЛЯ ЭЛЕМЕНТОВ КИНЕМАТИЧЕСКИХ СХЕМ МАШИН И МЕХАНИЗМОВ</w:t>
      </w:r>
    </w:p>
    <w:p w:rsidR="00575929" w:rsidRDefault="00575929" w:rsidP="00575929">
      <w:pPr>
        <w:pStyle w:val="a4"/>
      </w:pPr>
      <w:r>
        <w:t>Условные графические обозначения некоторых элементов кинематических схем представлены в табл. 1.</w:t>
      </w:r>
    </w:p>
    <w:p w:rsidR="00575929" w:rsidRDefault="00575929" w:rsidP="00575929">
      <w:pPr>
        <w:pStyle w:val="a4"/>
        <w:jc w:val="right"/>
      </w:pPr>
      <w:r>
        <w:t>Таблица 1.</w:t>
      </w:r>
    </w:p>
    <w:p w:rsidR="00575929" w:rsidRDefault="00575929" w:rsidP="00575929">
      <w:pPr>
        <w:pStyle w:val="a4"/>
        <w:jc w:val="center"/>
      </w:pPr>
      <w:r>
        <w:rPr>
          <w:noProof/>
        </w:rPr>
        <w:drawing>
          <wp:inline distT="0" distB="0" distL="0" distR="0">
            <wp:extent cx="4953000" cy="6791325"/>
            <wp:effectExtent l="19050" t="0" r="0" b="0"/>
            <wp:docPr id="16" name="Рисунок 16" descr="https://studfiles.net/html/2706/1154/html_WyZuQsWIZB.4ezH/img-PloCz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studfiles.net/html/2706/1154/html_WyZuQsWIZB.4ezH/img-PloCzJ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6791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5929" w:rsidRDefault="00575929" w:rsidP="00575929">
      <w:pPr>
        <w:pStyle w:val="a4"/>
        <w:jc w:val="center"/>
      </w:pPr>
      <w:r>
        <w:rPr>
          <w:noProof/>
        </w:rPr>
        <w:lastRenderedPageBreak/>
        <w:drawing>
          <wp:inline distT="0" distB="0" distL="0" distR="0">
            <wp:extent cx="5000625" cy="7296150"/>
            <wp:effectExtent l="19050" t="0" r="9525" b="0"/>
            <wp:docPr id="17" name="Рисунок 17" descr="https://studfiles.net/html/2706/1154/html_WyZuQsWIZB.4ezH/img-5c0jE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studfiles.net/html/2706/1154/html_WyZuQsWIZB.4ezH/img-5c0jEx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7296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5929" w:rsidRDefault="00575929" w:rsidP="00575929">
      <w:pPr>
        <w:pStyle w:val="a4"/>
      </w:pPr>
      <w:r>
        <w:t>Некоторые конструкции и их обозначения на кинематических схемах</w:t>
      </w:r>
    </w:p>
    <w:p w:rsidR="00575929" w:rsidRDefault="00575929" w:rsidP="00575929">
      <w:pPr>
        <w:pStyle w:val="a4"/>
        <w:jc w:val="center"/>
      </w:pPr>
      <w:r>
        <w:rPr>
          <w:noProof/>
        </w:rPr>
        <w:lastRenderedPageBreak/>
        <w:drawing>
          <wp:inline distT="0" distB="0" distL="0" distR="0">
            <wp:extent cx="4781550" cy="7839075"/>
            <wp:effectExtent l="19050" t="0" r="0" b="0"/>
            <wp:docPr id="18" name="Рисунок 18" descr="https://studfiles.net/html/2706/1154/html_WyZuQsWIZB.4ezH/img-naf7n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studfiles.net/html/2706/1154/html_WyZuQsWIZB.4ezH/img-naf7n9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783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5929" w:rsidRDefault="00575929" w:rsidP="00575929">
      <w:pPr>
        <w:pStyle w:val="a4"/>
        <w:jc w:val="center"/>
      </w:pPr>
      <w:r>
        <w:rPr>
          <w:noProof/>
        </w:rPr>
        <w:lastRenderedPageBreak/>
        <w:drawing>
          <wp:inline distT="0" distB="0" distL="0" distR="0">
            <wp:extent cx="4953000" cy="8153400"/>
            <wp:effectExtent l="19050" t="0" r="0" b="0"/>
            <wp:docPr id="19" name="Рисунок 19" descr="https://studfiles.net/html/2706/1154/html_WyZuQsWIZB.4ezH/img-Fy_Hx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studfiles.net/html/2706/1154/html_WyZuQsWIZB.4ezH/img-Fy_Hxj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815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5929" w:rsidRDefault="00575929" w:rsidP="00575929">
      <w:pPr>
        <w:pStyle w:val="a4"/>
        <w:jc w:val="center"/>
      </w:pPr>
      <w:r>
        <w:t>Кинематическая схема станка</w:t>
      </w:r>
    </w:p>
    <w:p w:rsidR="00575929" w:rsidRDefault="00575929" w:rsidP="00575929">
      <w:pPr>
        <w:pStyle w:val="a4"/>
        <w:jc w:val="center"/>
      </w:pPr>
      <w:r>
        <w:rPr>
          <w:noProof/>
        </w:rPr>
        <w:lastRenderedPageBreak/>
        <w:drawing>
          <wp:inline distT="0" distB="0" distL="0" distR="0">
            <wp:extent cx="6334125" cy="8429625"/>
            <wp:effectExtent l="19050" t="0" r="9525" b="0"/>
            <wp:docPr id="20" name="Рисунок 20" descr="https://studfiles.net/html/2706/1154/html_WyZuQsWIZB.4ezH/img-Qx4qY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studfiles.net/html/2706/1154/html_WyZuQsWIZB.4ezH/img-Qx4qY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125" cy="8429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07CF" w:rsidRDefault="009D07CF"/>
    <w:sectPr w:rsidR="009D07CF" w:rsidSect="009D07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575929"/>
    <w:rsid w:val="00114038"/>
    <w:rsid w:val="00575929"/>
    <w:rsid w:val="00683397"/>
    <w:rsid w:val="009D07CF"/>
    <w:rsid w:val="00B207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0781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20781"/>
    <w:rPr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575929"/>
    <w:pPr>
      <w:spacing w:before="100" w:beforeAutospacing="1" w:after="100" w:afterAutospacing="1"/>
    </w:pPr>
  </w:style>
  <w:style w:type="paragraph" w:styleId="a5">
    <w:name w:val="Balloon Text"/>
    <w:basedOn w:val="a"/>
    <w:link w:val="a6"/>
    <w:uiPriority w:val="99"/>
    <w:semiHidden/>
    <w:unhideWhenUsed/>
    <w:rsid w:val="00575929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7592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766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13</Pages>
  <Words>1718</Words>
  <Characters>9796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</dc:creator>
  <cp:lastModifiedBy>li</cp:lastModifiedBy>
  <cp:revision>1</cp:revision>
  <dcterms:created xsi:type="dcterms:W3CDTF">2019-06-11T08:04:00Z</dcterms:created>
  <dcterms:modified xsi:type="dcterms:W3CDTF">2019-06-11T08:31:00Z</dcterms:modified>
</cp:coreProperties>
</file>