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773" w:rsidRPr="00A13EBE" w:rsidRDefault="001D5773" w:rsidP="001D5773">
      <w:pPr>
        <w:rPr>
          <w:sz w:val="28"/>
        </w:rPr>
      </w:pPr>
      <w:r>
        <w:t xml:space="preserve">                         </w:t>
      </w:r>
      <w:r w:rsidRPr="001D5773">
        <w:rPr>
          <w:sz w:val="28"/>
        </w:rPr>
        <w:t>. Механизация и автоматизация производственных процессов.</w:t>
      </w:r>
    </w:p>
    <w:p w:rsidR="00B24E51" w:rsidRPr="007142A8" w:rsidRDefault="000502C7" w:rsidP="001D5773">
      <w:hyperlink r:id="rId6" w:history="1">
        <w:r w:rsidR="00B24E51" w:rsidRPr="005C2513">
          <w:rPr>
            <w:rStyle w:val="ad"/>
          </w:rPr>
          <w:t>http://libnorm.ru</w:t>
        </w:r>
      </w:hyperlink>
      <w:r w:rsidR="00B24E51">
        <w:t xml:space="preserve"> </w:t>
      </w:r>
    </w:p>
    <w:p w:rsidR="00CF0110" w:rsidRPr="00D977B5" w:rsidRDefault="00B24E51" w:rsidP="00A13EBE">
      <w:pPr>
        <w:pStyle w:val="1"/>
      </w:pPr>
      <w:r>
        <w:t>ГОСТ 23004-78 Механизация и автоматизация технологических процессов в машиностроении и приборостроении. Основные термины, определения и обозначения</w:t>
      </w:r>
    </w:p>
    <w:p w:rsidR="00A614F9" w:rsidRPr="00D977B5" w:rsidRDefault="00A614F9" w:rsidP="00A614F9">
      <w:pPr>
        <w:jc w:val="right"/>
      </w:pPr>
    </w:p>
    <w:p w:rsidR="00D977B5" w:rsidRDefault="000502C7" w:rsidP="00A614F9">
      <w:pPr>
        <w:rPr>
          <w:b/>
          <w:bCs/>
        </w:rPr>
      </w:pPr>
      <w:hyperlink r:id="rId7" w:tooltip="ЕСТД. Формы и правила оформления маршрутных карт" w:history="1">
        <w:r w:rsidR="00A614F9">
          <w:rPr>
            <w:rStyle w:val="ad"/>
          </w:rPr>
          <w:t>ГОСТ 3.1118-82</w:t>
        </w:r>
      </w:hyperlink>
      <w:r w:rsidR="00A614F9" w:rsidRPr="00A614F9">
        <w:t xml:space="preserve"> </w:t>
      </w:r>
      <w:r w:rsidR="00A614F9">
        <w:rPr>
          <w:b/>
          <w:bCs/>
        </w:rPr>
        <w:t>ФОРМЫ И ПРАВИЛА ОФОРМЛЕНИЯ МАРШРУТНЫХ КАРТ</w:t>
      </w:r>
    </w:p>
    <w:p w:rsidR="00D977B5" w:rsidRDefault="00D977B5" w:rsidP="00A614F9">
      <w:pPr>
        <w:rPr>
          <w:b/>
          <w:bCs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529"/>
        <w:gridCol w:w="4442"/>
      </w:tblGrid>
      <w:tr w:rsidR="00D977B5" w:rsidRPr="00D977B5" w:rsidTr="00D977B5">
        <w:trPr>
          <w:tblCellSpacing w:w="0" w:type="dxa"/>
        </w:trPr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77B5" w:rsidRPr="00D977B5" w:rsidRDefault="00D977B5" w:rsidP="00D977B5">
            <w:pPr>
              <w:spacing w:before="100" w:beforeAutospacing="1" w:after="100" w:afterAutospacing="1"/>
              <w:jc w:val="center"/>
              <w:rPr>
                <w:lang w:eastAsia="en-GB"/>
              </w:rPr>
            </w:pPr>
            <w:bookmarkStart w:id="0" w:name="i12237"/>
            <w:r w:rsidRPr="00D977B5">
              <w:rPr>
                <w:b/>
                <w:bCs/>
                <w:lang w:eastAsia="en-GB"/>
              </w:rPr>
              <w:t xml:space="preserve">Выбор средств механизации и </w:t>
            </w:r>
            <w:r w:rsidRPr="00D977B5">
              <w:rPr>
                <w:b/>
                <w:bCs/>
                <w:lang w:eastAsia="en-GB"/>
              </w:rPr>
              <w:br/>
              <w:t>автоматизации производственных процессов</w:t>
            </w:r>
            <w:bookmarkEnd w:id="0"/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77B5" w:rsidRPr="00D977B5" w:rsidRDefault="00D977B5" w:rsidP="00D977B5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r w:rsidRPr="00D977B5">
              <w:rPr>
                <w:b/>
                <w:bCs/>
                <w:lang w:val="en-GB" w:eastAsia="en-GB"/>
              </w:rPr>
              <w:t>Р 50-54-16-87</w:t>
            </w:r>
          </w:p>
        </w:tc>
      </w:tr>
    </w:tbl>
    <w:p w:rsidR="00D977B5" w:rsidRPr="00A614F9" w:rsidRDefault="00D977B5" w:rsidP="00A614F9">
      <w:pPr>
        <w:rPr>
          <w:b/>
          <w:bCs/>
        </w:rPr>
      </w:pPr>
    </w:p>
    <w:p w:rsidR="00A614F9" w:rsidRPr="00A614F9" w:rsidRDefault="00A614F9" w:rsidP="001D5773"/>
    <w:p w:rsidR="00B24E51" w:rsidRDefault="00CF0110" w:rsidP="001D5773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6600825" cy="2857500"/>
            <wp:effectExtent l="19050" t="0" r="9525" b="0"/>
            <wp:docPr id="1" name="Рисунок 1" descr="http://libnorm.ru/Files2/1/4293850/4293850541.files/x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bnorm.ru/Files2/1/4293850/4293850541.files/x00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10" w:rsidRDefault="00CF0110" w:rsidP="001D5773">
      <w:pPr>
        <w:rPr>
          <w:lang w:val="en-GB"/>
        </w:rPr>
      </w:pPr>
    </w:p>
    <w:p w:rsidR="00CF0110" w:rsidRPr="00CF0110" w:rsidRDefault="00CF0110" w:rsidP="00CF0110">
      <w:pPr>
        <w:jc w:val="right"/>
        <w:rPr>
          <w:lang w:eastAsia="en-GB"/>
        </w:rPr>
      </w:pPr>
      <w:bookmarkStart w:id="1" w:name="i277319"/>
      <w:r>
        <w:t>К</w:t>
      </w:r>
      <w:proofErr w:type="gramStart"/>
      <w:r>
        <w:rPr>
          <w:vertAlign w:val="superscript"/>
        </w:rPr>
        <w:t>м(</w:t>
      </w:r>
      <w:proofErr w:type="gramEnd"/>
      <w:r>
        <w:rPr>
          <w:vertAlign w:val="superscript"/>
        </w:rPr>
        <w:t>А)</w:t>
      </w:r>
      <w:r>
        <w:t xml:space="preserve">&gt;1,       - число механизированных или автоматизированных </w:t>
      </w:r>
      <w:proofErr w:type="spellStart"/>
      <w:r>
        <w:t>компоненто</w:t>
      </w:r>
      <w:proofErr w:type="spellEnd"/>
      <w:r>
        <w:t> </w:t>
      </w:r>
      <w:bookmarkStart w:id="2" w:name="i291207"/>
      <w:bookmarkEnd w:id="1"/>
      <w:r w:rsidRPr="00CF0110">
        <w:t xml:space="preserve">                                                               </w:t>
      </w:r>
      <w:r w:rsidRPr="00CF0110">
        <w:rPr>
          <w:lang w:eastAsia="en-GB"/>
        </w:rPr>
        <w:t>Таблица 1.2</w:t>
      </w:r>
      <w:bookmarkEnd w:id="2"/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05"/>
        <w:gridCol w:w="2771"/>
        <w:gridCol w:w="6095"/>
      </w:tblGrid>
      <w:tr w:rsidR="00CF0110" w:rsidRPr="00CF0110" w:rsidTr="00CF0110">
        <w:trPr>
          <w:tblHeader/>
          <w:tblCellSpacing w:w="0" w:type="dxa"/>
          <w:jc w:val="center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bookmarkStart w:id="3" w:name="i301741"/>
            <w:proofErr w:type="spellStart"/>
            <w:r w:rsidRPr="00CF0110">
              <w:rPr>
                <w:lang w:val="en-GB" w:eastAsia="en-GB"/>
              </w:rPr>
              <w:t>Номер</w:t>
            </w:r>
            <w:proofErr w:type="spellEnd"/>
            <w:r w:rsidRPr="00CF0110">
              <w:rPr>
                <w:lang w:val="en-GB" w:eastAsia="en-GB"/>
              </w:rPr>
              <w:t xml:space="preserve"> </w:t>
            </w:r>
            <w:proofErr w:type="spellStart"/>
            <w:r w:rsidRPr="00CF0110">
              <w:rPr>
                <w:lang w:val="en-GB" w:eastAsia="en-GB"/>
              </w:rPr>
              <w:t>категорий</w:t>
            </w:r>
            <w:bookmarkEnd w:id="3"/>
            <w:proofErr w:type="spellEnd"/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Категория</w:t>
            </w:r>
            <w:proofErr w:type="spellEnd"/>
          </w:p>
        </w:tc>
        <w:tc>
          <w:tcPr>
            <w:tcW w:w="2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Значение</w:t>
            </w:r>
            <w:proofErr w:type="spellEnd"/>
            <w:r w:rsidRPr="00CF0110">
              <w:rPr>
                <w:lang w:val="en-GB" w:eastAsia="en-GB"/>
              </w:rPr>
              <w:t xml:space="preserve"> </w:t>
            </w:r>
            <w:proofErr w:type="spellStart"/>
            <w:r w:rsidRPr="00CF0110">
              <w:rPr>
                <w:lang w:val="en-GB" w:eastAsia="en-GB"/>
              </w:rPr>
              <w:t>основного</w:t>
            </w:r>
            <w:proofErr w:type="spellEnd"/>
            <w:r w:rsidRPr="00CF0110">
              <w:rPr>
                <w:lang w:val="en-GB" w:eastAsia="en-GB"/>
              </w:rPr>
              <w:t xml:space="preserve"> </w:t>
            </w:r>
            <w:proofErr w:type="spellStart"/>
            <w:r w:rsidRPr="00CF0110">
              <w:rPr>
                <w:lang w:val="en-GB" w:eastAsia="en-GB"/>
              </w:rPr>
              <w:t>показателя</w:t>
            </w:r>
            <w:proofErr w:type="spellEnd"/>
          </w:p>
        </w:tc>
      </w:tr>
      <w:tr w:rsidR="00CF0110" w:rsidRPr="00CF0110" w:rsidTr="00CF0110">
        <w:trPr>
          <w:tblCellSpacing w:w="0" w:type="dxa"/>
          <w:jc w:val="center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r w:rsidRPr="00CF0110">
              <w:rPr>
                <w:lang w:val="en-GB" w:eastAsia="en-GB"/>
              </w:rPr>
              <w:t>0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Нулевая</w:t>
            </w:r>
            <w:proofErr w:type="spellEnd"/>
          </w:p>
        </w:tc>
        <w:tc>
          <w:tcPr>
            <w:tcW w:w="2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eastAsia="en-GB"/>
              </w:rPr>
            </w:pPr>
            <w:r w:rsidRPr="00CF0110">
              <w:rPr>
                <w:lang w:eastAsia="en-GB"/>
              </w:rPr>
              <w:t>0 - при отсутствии механизации или автоматизации</w:t>
            </w:r>
          </w:p>
        </w:tc>
      </w:tr>
      <w:tr w:rsidR="00CF0110" w:rsidRPr="00CF0110" w:rsidTr="00CF0110">
        <w:trPr>
          <w:tblCellSpacing w:w="0" w:type="dxa"/>
          <w:jc w:val="center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r w:rsidRPr="00CF0110">
              <w:rPr>
                <w:lang w:val="en-GB" w:eastAsia="en-GB"/>
              </w:rPr>
              <w:t>1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Низшая</w:t>
            </w:r>
            <w:proofErr w:type="spellEnd"/>
          </w:p>
        </w:tc>
        <w:tc>
          <w:tcPr>
            <w:tcW w:w="2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Св</w:t>
            </w:r>
            <w:proofErr w:type="spellEnd"/>
            <w:r w:rsidRPr="00CF0110">
              <w:rPr>
                <w:lang w:val="en-GB" w:eastAsia="en-GB"/>
              </w:rPr>
              <w:t xml:space="preserve">. 0,0 </w:t>
            </w:r>
            <w:proofErr w:type="spellStart"/>
            <w:r w:rsidRPr="00CF0110">
              <w:rPr>
                <w:lang w:val="en-GB" w:eastAsia="en-GB"/>
              </w:rPr>
              <w:t>до</w:t>
            </w:r>
            <w:proofErr w:type="spellEnd"/>
            <w:r w:rsidRPr="00CF0110">
              <w:rPr>
                <w:lang w:val="en-GB" w:eastAsia="en-GB"/>
              </w:rPr>
              <w:t xml:space="preserve"> 0,25</w:t>
            </w:r>
          </w:p>
        </w:tc>
      </w:tr>
      <w:tr w:rsidR="00CF0110" w:rsidRPr="00CF0110" w:rsidTr="00CF0110">
        <w:trPr>
          <w:tblCellSpacing w:w="0" w:type="dxa"/>
          <w:jc w:val="center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r w:rsidRPr="00CF0110">
              <w:rPr>
                <w:lang w:val="en-GB" w:eastAsia="en-GB"/>
              </w:rPr>
              <w:t>2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Малая</w:t>
            </w:r>
            <w:proofErr w:type="spellEnd"/>
          </w:p>
        </w:tc>
        <w:tc>
          <w:tcPr>
            <w:tcW w:w="2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Св</w:t>
            </w:r>
            <w:proofErr w:type="spellEnd"/>
            <w:r w:rsidRPr="00CF0110">
              <w:rPr>
                <w:lang w:val="en-GB" w:eastAsia="en-GB"/>
              </w:rPr>
              <w:t xml:space="preserve">. 0,25 </w:t>
            </w:r>
            <w:proofErr w:type="spellStart"/>
            <w:r w:rsidRPr="00CF0110">
              <w:rPr>
                <w:lang w:val="en-GB" w:eastAsia="en-GB"/>
              </w:rPr>
              <w:t>до</w:t>
            </w:r>
            <w:proofErr w:type="spellEnd"/>
            <w:r w:rsidRPr="00CF0110">
              <w:rPr>
                <w:lang w:val="en-GB" w:eastAsia="en-GB"/>
              </w:rPr>
              <w:t xml:space="preserve"> 0,45</w:t>
            </w:r>
          </w:p>
        </w:tc>
      </w:tr>
      <w:tr w:rsidR="00CF0110" w:rsidRPr="00CF0110" w:rsidTr="00CF0110">
        <w:trPr>
          <w:tblCellSpacing w:w="0" w:type="dxa"/>
          <w:jc w:val="center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r w:rsidRPr="00CF0110">
              <w:rPr>
                <w:lang w:val="en-GB" w:eastAsia="en-GB"/>
              </w:rPr>
              <w:t>3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Средняя</w:t>
            </w:r>
            <w:proofErr w:type="spellEnd"/>
          </w:p>
        </w:tc>
        <w:tc>
          <w:tcPr>
            <w:tcW w:w="2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Св</w:t>
            </w:r>
            <w:proofErr w:type="spellEnd"/>
            <w:r w:rsidRPr="00CF0110">
              <w:rPr>
                <w:lang w:val="en-GB" w:eastAsia="en-GB"/>
              </w:rPr>
              <w:t xml:space="preserve">. 0,45 </w:t>
            </w:r>
            <w:proofErr w:type="spellStart"/>
            <w:r w:rsidRPr="00CF0110">
              <w:rPr>
                <w:lang w:val="en-GB" w:eastAsia="en-GB"/>
              </w:rPr>
              <w:t>до</w:t>
            </w:r>
            <w:proofErr w:type="spellEnd"/>
            <w:r w:rsidRPr="00CF0110">
              <w:rPr>
                <w:lang w:val="en-GB" w:eastAsia="en-GB"/>
              </w:rPr>
              <w:t xml:space="preserve"> 0,60</w:t>
            </w:r>
          </w:p>
        </w:tc>
      </w:tr>
      <w:tr w:rsidR="00CF0110" w:rsidRPr="00CF0110" w:rsidTr="00CF0110">
        <w:trPr>
          <w:tblCellSpacing w:w="0" w:type="dxa"/>
          <w:jc w:val="center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r w:rsidRPr="00CF0110">
              <w:rPr>
                <w:lang w:val="en-GB" w:eastAsia="en-GB"/>
              </w:rPr>
              <w:t>4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Большая</w:t>
            </w:r>
            <w:proofErr w:type="spellEnd"/>
          </w:p>
        </w:tc>
        <w:tc>
          <w:tcPr>
            <w:tcW w:w="2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Св</w:t>
            </w:r>
            <w:proofErr w:type="spellEnd"/>
            <w:r w:rsidRPr="00CF0110">
              <w:rPr>
                <w:lang w:val="en-GB" w:eastAsia="en-GB"/>
              </w:rPr>
              <w:t xml:space="preserve">. 0,60 </w:t>
            </w:r>
            <w:proofErr w:type="spellStart"/>
            <w:r w:rsidRPr="00CF0110">
              <w:rPr>
                <w:lang w:val="en-GB" w:eastAsia="en-GB"/>
              </w:rPr>
              <w:t>до</w:t>
            </w:r>
            <w:proofErr w:type="spellEnd"/>
            <w:r w:rsidRPr="00CF0110">
              <w:rPr>
                <w:lang w:val="en-GB" w:eastAsia="en-GB"/>
              </w:rPr>
              <w:t xml:space="preserve"> 0,75</w:t>
            </w:r>
          </w:p>
        </w:tc>
      </w:tr>
      <w:tr w:rsidR="00CF0110" w:rsidRPr="00CF0110" w:rsidTr="00CF0110">
        <w:trPr>
          <w:tblCellSpacing w:w="0" w:type="dxa"/>
          <w:jc w:val="center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r w:rsidRPr="00CF0110">
              <w:rPr>
                <w:lang w:val="en-GB" w:eastAsia="en-GB"/>
              </w:rPr>
              <w:t>5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Повышенная</w:t>
            </w:r>
            <w:proofErr w:type="spellEnd"/>
          </w:p>
        </w:tc>
        <w:tc>
          <w:tcPr>
            <w:tcW w:w="2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Св</w:t>
            </w:r>
            <w:proofErr w:type="spellEnd"/>
            <w:r w:rsidRPr="00CF0110">
              <w:rPr>
                <w:lang w:val="en-GB" w:eastAsia="en-GB"/>
              </w:rPr>
              <w:t xml:space="preserve">. 0,75 </w:t>
            </w:r>
            <w:proofErr w:type="spellStart"/>
            <w:r w:rsidRPr="00CF0110">
              <w:rPr>
                <w:lang w:val="en-GB" w:eastAsia="en-GB"/>
              </w:rPr>
              <w:t>до</w:t>
            </w:r>
            <w:proofErr w:type="spellEnd"/>
            <w:r w:rsidRPr="00CF0110">
              <w:rPr>
                <w:lang w:val="en-GB" w:eastAsia="en-GB"/>
              </w:rPr>
              <w:t xml:space="preserve"> 0,90</w:t>
            </w:r>
          </w:p>
        </w:tc>
      </w:tr>
      <w:tr w:rsidR="00CF0110" w:rsidRPr="00CF0110" w:rsidTr="00CF0110">
        <w:trPr>
          <w:tblCellSpacing w:w="0" w:type="dxa"/>
          <w:jc w:val="center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r w:rsidRPr="00CF0110">
              <w:rPr>
                <w:lang w:val="en-GB" w:eastAsia="en-GB"/>
              </w:rPr>
              <w:t>6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Высокая</w:t>
            </w:r>
            <w:proofErr w:type="spellEnd"/>
          </w:p>
        </w:tc>
        <w:tc>
          <w:tcPr>
            <w:tcW w:w="2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Св</w:t>
            </w:r>
            <w:proofErr w:type="spellEnd"/>
            <w:r w:rsidRPr="00CF0110">
              <w:rPr>
                <w:lang w:val="en-GB" w:eastAsia="en-GB"/>
              </w:rPr>
              <w:t xml:space="preserve">. 0,90 </w:t>
            </w:r>
            <w:proofErr w:type="spellStart"/>
            <w:r w:rsidRPr="00CF0110">
              <w:rPr>
                <w:lang w:val="en-GB" w:eastAsia="en-GB"/>
              </w:rPr>
              <w:t>до</w:t>
            </w:r>
            <w:proofErr w:type="spellEnd"/>
            <w:r w:rsidRPr="00CF0110">
              <w:rPr>
                <w:lang w:val="en-GB" w:eastAsia="en-GB"/>
              </w:rPr>
              <w:t xml:space="preserve"> 0,99</w:t>
            </w:r>
          </w:p>
        </w:tc>
      </w:tr>
      <w:tr w:rsidR="00CF0110" w:rsidRPr="00CF0110" w:rsidTr="00CF0110">
        <w:trPr>
          <w:tblCellSpacing w:w="0" w:type="dxa"/>
          <w:jc w:val="center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jc w:val="center"/>
              <w:rPr>
                <w:lang w:val="en-GB" w:eastAsia="en-GB"/>
              </w:rPr>
            </w:pPr>
            <w:r w:rsidRPr="00CF0110">
              <w:rPr>
                <w:lang w:val="en-GB" w:eastAsia="en-GB"/>
              </w:rPr>
              <w:t>7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proofErr w:type="spellStart"/>
            <w:r w:rsidRPr="00CF0110">
              <w:rPr>
                <w:lang w:val="en-GB" w:eastAsia="en-GB"/>
              </w:rPr>
              <w:t>Полная</w:t>
            </w:r>
            <w:proofErr w:type="spellEnd"/>
          </w:p>
        </w:tc>
        <w:tc>
          <w:tcPr>
            <w:tcW w:w="2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0110" w:rsidRPr="00CF0110" w:rsidRDefault="00CF0110" w:rsidP="00CF0110">
            <w:pPr>
              <w:spacing w:before="100" w:beforeAutospacing="1" w:after="100" w:afterAutospacing="1"/>
              <w:rPr>
                <w:lang w:val="en-GB" w:eastAsia="en-GB"/>
              </w:rPr>
            </w:pPr>
            <w:r w:rsidRPr="00CF0110">
              <w:rPr>
                <w:lang w:val="en-GB" w:eastAsia="en-GB"/>
              </w:rPr>
              <w:t>1,0</w:t>
            </w:r>
          </w:p>
        </w:tc>
      </w:tr>
    </w:tbl>
    <w:p w:rsidR="00CF0110" w:rsidRDefault="00CF0110" w:rsidP="001D5773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238875" cy="2409825"/>
            <wp:effectExtent l="19050" t="0" r="9525" b="0"/>
            <wp:docPr id="4" name="Рисунок 4" descr="http://libnorm.ru/Files2/1/4293850/4293850541.files/x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ibnorm.ru/Files2/1/4293850/4293850541.files/x00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10" w:rsidRDefault="00CF0110" w:rsidP="00CF0110">
      <w:pPr>
        <w:jc w:val="right"/>
        <w:rPr>
          <w:lang w:val="en-GB"/>
        </w:rPr>
      </w:pPr>
    </w:p>
    <w:p w:rsidR="00CF0110" w:rsidRDefault="00CF0110" w:rsidP="00CF0110">
      <w:pPr>
        <w:jc w:val="right"/>
        <w:rPr>
          <w:lang w:val="en-GB"/>
        </w:rPr>
      </w:pPr>
    </w:p>
    <w:p w:rsidR="00CF0110" w:rsidRDefault="00CF0110" w:rsidP="00CF0110">
      <w:pPr>
        <w:jc w:val="right"/>
        <w:rPr>
          <w:lang w:val="en-GB"/>
        </w:rPr>
      </w:pPr>
    </w:p>
    <w:p w:rsidR="00CF0110" w:rsidRPr="007142A8" w:rsidRDefault="000502C7" w:rsidP="00CF0110">
      <w:pPr>
        <w:rPr>
          <w:b/>
          <w:bCs/>
        </w:rPr>
      </w:pPr>
      <w:hyperlink r:id="rId10" w:tooltip="ЕСТД. Формы и правила оформления маршрутных карт" w:history="1">
        <w:r w:rsidR="00CF0110">
          <w:rPr>
            <w:rStyle w:val="ad"/>
          </w:rPr>
          <w:t>ГОСТ 3.1118-82</w:t>
        </w:r>
      </w:hyperlink>
      <w:r w:rsidR="00A614F9" w:rsidRPr="00A614F9">
        <w:t xml:space="preserve"> </w:t>
      </w:r>
      <w:r w:rsidR="00A614F9">
        <w:rPr>
          <w:b/>
          <w:bCs/>
        </w:rPr>
        <w:t>ФОРМЫ И ПРАВИЛА ОФОРМЛЕНИЯ МАРШРУТНЫХ КАРТ</w:t>
      </w:r>
    </w:p>
    <w:p w:rsidR="00A614F9" w:rsidRPr="007142A8" w:rsidRDefault="00A614F9" w:rsidP="00CF0110">
      <w:pPr>
        <w:rPr>
          <w:b/>
          <w:bCs/>
        </w:rPr>
      </w:pPr>
    </w:p>
    <w:p w:rsidR="00A614F9" w:rsidRPr="007142A8" w:rsidRDefault="00A614F9" w:rsidP="00CF0110">
      <w:r>
        <w:t xml:space="preserve">Оформление форм, бланков и документов - по </w:t>
      </w:r>
      <w:hyperlink r:id="rId11" w:tooltip="ГОСТ 3.1129-93 Единая система технологической документации. Общие правила записи технологической информации в технологических документах на технологические процессы и операции" w:history="1">
        <w:r>
          <w:rPr>
            <w:rStyle w:val="ad"/>
          </w:rPr>
          <w:t>ГОСТ 3.1129-93</w:t>
        </w:r>
      </w:hyperlink>
      <w:r>
        <w:t xml:space="preserve"> и </w:t>
      </w:r>
      <w:hyperlink r:id="rId12" w:tooltip="ГОСТ 3.1130-93 Единая система технологической документации. Общие требования к формам и бланкам документов" w:history="1">
        <w:r>
          <w:rPr>
            <w:rStyle w:val="ad"/>
          </w:rPr>
          <w:t>ГОСТ 3.1130-93</w:t>
        </w:r>
      </w:hyperlink>
      <w:r>
        <w:t>..</w:t>
      </w:r>
    </w:p>
    <w:p w:rsidR="00A614F9" w:rsidRPr="007142A8" w:rsidRDefault="00A614F9" w:rsidP="00CF0110"/>
    <w:p w:rsidR="00A614F9" w:rsidRPr="007142A8" w:rsidRDefault="00A614F9" w:rsidP="00CF0110"/>
    <w:p w:rsidR="00A614F9" w:rsidRPr="007142A8" w:rsidRDefault="00A614F9" w:rsidP="00CF0110">
      <w:r>
        <w:t xml:space="preserve">В соответствии с </w:t>
      </w:r>
      <w:hyperlink r:id="rId13" w:history="1">
        <w:r>
          <w:rPr>
            <w:rStyle w:val="ad"/>
          </w:rPr>
          <w:t>ГОСТ 14.309-74</w:t>
        </w:r>
      </w:hyperlink>
      <w:r>
        <w:t xml:space="preserve"> установлены следующие ступени применяемости механизации и автоматизации технологических процессов</w:t>
      </w:r>
    </w:p>
    <w:p w:rsidR="00A614F9" w:rsidRPr="007142A8" w:rsidRDefault="00A614F9" w:rsidP="00CF0110"/>
    <w:p w:rsidR="00A614F9" w:rsidRPr="007142A8" w:rsidRDefault="00A13EBE" w:rsidP="00CF0110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1791335</wp:posOffset>
            </wp:positionH>
            <wp:positionV relativeFrom="paragraph">
              <wp:posOffset>41910</wp:posOffset>
            </wp:positionV>
            <wp:extent cx="4048125" cy="4048125"/>
            <wp:effectExtent l="19050" t="0" r="9525" b="0"/>
            <wp:wrapSquare wrapText="bothSides"/>
            <wp:docPr id="9" name="Рисунок 9" descr="ГОСТ 23004-78 Механизация и автоматизация технологических процессов в машиностроении и приборостроении. Основные термины, определения и обозна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ОСТ 23004-78 Механизация и автоматизация технологических процессов в машиностроении и приборостроении. Основные термины, определения и обозначен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BE" w:rsidRPr="007142A8" w:rsidRDefault="00A13EBE" w:rsidP="00A614F9">
      <w:pPr>
        <w:jc w:val="center"/>
      </w:pPr>
    </w:p>
    <w:p w:rsidR="00A13EBE" w:rsidRPr="007142A8" w:rsidRDefault="00A13EBE" w:rsidP="00A13EBE"/>
    <w:p w:rsidR="00A614F9" w:rsidRDefault="00A13EBE" w:rsidP="00A13EBE">
      <w:pPr>
        <w:rPr>
          <w:lang w:val="en-GB"/>
        </w:rPr>
      </w:pPr>
      <w:r w:rsidRPr="00A13EBE">
        <w:br w:type="textWrapping" w:clear="all"/>
      </w:r>
      <w:r>
        <w:t>Под качеством продукции понимают совокупность свойств продукции, обуславливающих ее пригодность удовлетворять определенные потребности в соответствии с ее назначением (</w:t>
      </w:r>
      <w:proofErr w:type="gramStart"/>
      <w:r>
        <w:t>см</w:t>
      </w:r>
      <w:proofErr w:type="gramEnd"/>
      <w:r>
        <w:t xml:space="preserve">. </w:t>
      </w:r>
      <w:hyperlink r:id="rId15" w:history="1">
        <w:r>
          <w:rPr>
            <w:rStyle w:val="ad"/>
          </w:rPr>
          <w:t>ГОСТ 15467-70</w:t>
        </w:r>
      </w:hyperlink>
      <w:r>
        <w:t>).</w:t>
      </w:r>
    </w:p>
    <w:p w:rsidR="00A13EBE" w:rsidRDefault="00A13EBE" w:rsidP="00A13EBE">
      <w:pPr>
        <w:rPr>
          <w:lang w:val="en-GB"/>
        </w:rPr>
      </w:pPr>
    </w:p>
    <w:p w:rsidR="00A13EBE" w:rsidRDefault="00A13EBE" w:rsidP="00A13EBE">
      <w:r>
        <w:t>установленными технической документацией (</w:t>
      </w:r>
      <w:proofErr w:type="gramStart"/>
      <w:r>
        <w:t>см</w:t>
      </w:r>
      <w:proofErr w:type="gramEnd"/>
      <w:r>
        <w:t xml:space="preserve">. </w:t>
      </w:r>
      <w:hyperlink r:id="rId16" w:history="1">
        <w:r>
          <w:rPr>
            <w:rStyle w:val="ad"/>
          </w:rPr>
          <w:t>ГОСТ 19919-74</w:t>
        </w:r>
      </w:hyperlink>
      <w:r>
        <w:t>).</w:t>
      </w:r>
      <w:r w:rsidRPr="007142A8">
        <w:t xml:space="preserve"> </w:t>
      </w:r>
      <w:r>
        <w:t xml:space="preserve">В </w:t>
      </w:r>
      <w:r w:rsidR="007142A8">
        <w:t>м</w:t>
      </w:r>
      <w:r>
        <w:t>омент времени.</w:t>
      </w:r>
    </w:p>
    <w:p w:rsidR="00A13EBE" w:rsidRPr="00A13EBE" w:rsidRDefault="00A13EBE" w:rsidP="00A13EBE"/>
    <w:sectPr w:rsidR="00A13EBE" w:rsidRPr="00A13EBE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1798C"/>
    <w:rsid w:val="00035A43"/>
    <w:rsid w:val="00040A70"/>
    <w:rsid w:val="000430D4"/>
    <w:rsid w:val="000502C7"/>
    <w:rsid w:val="0005454B"/>
    <w:rsid w:val="0009086F"/>
    <w:rsid w:val="00092B80"/>
    <w:rsid w:val="000C00D1"/>
    <w:rsid w:val="000C4353"/>
    <w:rsid w:val="00106B5B"/>
    <w:rsid w:val="00122057"/>
    <w:rsid w:val="00133378"/>
    <w:rsid w:val="001478DD"/>
    <w:rsid w:val="001515DD"/>
    <w:rsid w:val="0017049C"/>
    <w:rsid w:val="001849FB"/>
    <w:rsid w:val="00184E7F"/>
    <w:rsid w:val="00195774"/>
    <w:rsid w:val="00195BB1"/>
    <w:rsid w:val="00196AF7"/>
    <w:rsid w:val="001A578F"/>
    <w:rsid w:val="001C198E"/>
    <w:rsid w:val="001C3641"/>
    <w:rsid w:val="001D4E58"/>
    <w:rsid w:val="001D5773"/>
    <w:rsid w:val="001E677D"/>
    <w:rsid w:val="001F196A"/>
    <w:rsid w:val="001F54A1"/>
    <w:rsid w:val="002048C1"/>
    <w:rsid w:val="00206E97"/>
    <w:rsid w:val="00210085"/>
    <w:rsid w:val="00223911"/>
    <w:rsid w:val="002312FB"/>
    <w:rsid w:val="002329A5"/>
    <w:rsid w:val="00263C6B"/>
    <w:rsid w:val="002804D8"/>
    <w:rsid w:val="002A66CC"/>
    <w:rsid w:val="002C472F"/>
    <w:rsid w:val="002D11CE"/>
    <w:rsid w:val="002D134A"/>
    <w:rsid w:val="002D1C05"/>
    <w:rsid w:val="002E614C"/>
    <w:rsid w:val="00315C7E"/>
    <w:rsid w:val="00320313"/>
    <w:rsid w:val="00320785"/>
    <w:rsid w:val="00321D56"/>
    <w:rsid w:val="00332BAC"/>
    <w:rsid w:val="00363F8E"/>
    <w:rsid w:val="0036461B"/>
    <w:rsid w:val="00365334"/>
    <w:rsid w:val="003766E0"/>
    <w:rsid w:val="0038689F"/>
    <w:rsid w:val="00395B92"/>
    <w:rsid w:val="003A02B8"/>
    <w:rsid w:val="003A4AD2"/>
    <w:rsid w:val="003D5344"/>
    <w:rsid w:val="003F67CB"/>
    <w:rsid w:val="00423693"/>
    <w:rsid w:val="00435C58"/>
    <w:rsid w:val="00450673"/>
    <w:rsid w:val="0049335B"/>
    <w:rsid w:val="00497FA7"/>
    <w:rsid w:val="004A0349"/>
    <w:rsid w:val="004B0629"/>
    <w:rsid w:val="004C65C2"/>
    <w:rsid w:val="004D13C9"/>
    <w:rsid w:val="004E3BB4"/>
    <w:rsid w:val="004F26F4"/>
    <w:rsid w:val="0050501B"/>
    <w:rsid w:val="00510234"/>
    <w:rsid w:val="00523BB4"/>
    <w:rsid w:val="00534507"/>
    <w:rsid w:val="0055592F"/>
    <w:rsid w:val="00575AAB"/>
    <w:rsid w:val="00593354"/>
    <w:rsid w:val="005A1F58"/>
    <w:rsid w:val="005A4209"/>
    <w:rsid w:val="005A55F0"/>
    <w:rsid w:val="005D00B9"/>
    <w:rsid w:val="005D57B9"/>
    <w:rsid w:val="005D581E"/>
    <w:rsid w:val="005F06F2"/>
    <w:rsid w:val="0060568C"/>
    <w:rsid w:val="00614351"/>
    <w:rsid w:val="006152C8"/>
    <w:rsid w:val="006453FF"/>
    <w:rsid w:val="0064608E"/>
    <w:rsid w:val="00676C29"/>
    <w:rsid w:val="006863E0"/>
    <w:rsid w:val="006A53D0"/>
    <w:rsid w:val="006B5BFE"/>
    <w:rsid w:val="006D2FF1"/>
    <w:rsid w:val="006D4A57"/>
    <w:rsid w:val="006F25E9"/>
    <w:rsid w:val="00706AAD"/>
    <w:rsid w:val="00706BEE"/>
    <w:rsid w:val="007142A8"/>
    <w:rsid w:val="00720DFF"/>
    <w:rsid w:val="007226A6"/>
    <w:rsid w:val="00731FFD"/>
    <w:rsid w:val="00734DEF"/>
    <w:rsid w:val="007418A6"/>
    <w:rsid w:val="007924D3"/>
    <w:rsid w:val="00804322"/>
    <w:rsid w:val="00820CEF"/>
    <w:rsid w:val="00835E7E"/>
    <w:rsid w:val="00842D13"/>
    <w:rsid w:val="00844940"/>
    <w:rsid w:val="00847F64"/>
    <w:rsid w:val="00866CD9"/>
    <w:rsid w:val="00872A0C"/>
    <w:rsid w:val="008808E9"/>
    <w:rsid w:val="008915C5"/>
    <w:rsid w:val="008A7147"/>
    <w:rsid w:val="008B61C4"/>
    <w:rsid w:val="008B7948"/>
    <w:rsid w:val="008D619E"/>
    <w:rsid w:val="00924112"/>
    <w:rsid w:val="00932308"/>
    <w:rsid w:val="009337F9"/>
    <w:rsid w:val="00947B9D"/>
    <w:rsid w:val="00952235"/>
    <w:rsid w:val="00974420"/>
    <w:rsid w:val="00981688"/>
    <w:rsid w:val="00981DF3"/>
    <w:rsid w:val="0098374B"/>
    <w:rsid w:val="009A4078"/>
    <w:rsid w:val="009B4531"/>
    <w:rsid w:val="009C74E1"/>
    <w:rsid w:val="009D0F76"/>
    <w:rsid w:val="009E53B6"/>
    <w:rsid w:val="009F54E9"/>
    <w:rsid w:val="00A051FD"/>
    <w:rsid w:val="00A07EBF"/>
    <w:rsid w:val="00A10AF1"/>
    <w:rsid w:val="00A13EBE"/>
    <w:rsid w:val="00A2189B"/>
    <w:rsid w:val="00A24E14"/>
    <w:rsid w:val="00A32BBD"/>
    <w:rsid w:val="00A614F9"/>
    <w:rsid w:val="00A655E4"/>
    <w:rsid w:val="00A724F4"/>
    <w:rsid w:val="00A74304"/>
    <w:rsid w:val="00A81BBB"/>
    <w:rsid w:val="00A874DE"/>
    <w:rsid w:val="00AA0E4D"/>
    <w:rsid w:val="00AB13F5"/>
    <w:rsid w:val="00AB4AAF"/>
    <w:rsid w:val="00AF0008"/>
    <w:rsid w:val="00AF63AD"/>
    <w:rsid w:val="00B22493"/>
    <w:rsid w:val="00B24E51"/>
    <w:rsid w:val="00B37810"/>
    <w:rsid w:val="00B40B43"/>
    <w:rsid w:val="00B4232B"/>
    <w:rsid w:val="00B770E3"/>
    <w:rsid w:val="00B9134E"/>
    <w:rsid w:val="00B9484C"/>
    <w:rsid w:val="00B94F5A"/>
    <w:rsid w:val="00BA08F7"/>
    <w:rsid w:val="00BB2DA0"/>
    <w:rsid w:val="00BD3CD9"/>
    <w:rsid w:val="00C333BB"/>
    <w:rsid w:val="00C35005"/>
    <w:rsid w:val="00C61A7A"/>
    <w:rsid w:val="00C61D09"/>
    <w:rsid w:val="00C62553"/>
    <w:rsid w:val="00C73BB6"/>
    <w:rsid w:val="00C77358"/>
    <w:rsid w:val="00C97714"/>
    <w:rsid w:val="00CB58EB"/>
    <w:rsid w:val="00CD17F7"/>
    <w:rsid w:val="00CF0110"/>
    <w:rsid w:val="00CF0765"/>
    <w:rsid w:val="00D20AFC"/>
    <w:rsid w:val="00D9054A"/>
    <w:rsid w:val="00D977B5"/>
    <w:rsid w:val="00DB1DC4"/>
    <w:rsid w:val="00DE5335"/>
    <w:rsid w:val="00DF6F12"/>
    <w:rsid w:val="00E05D5F"/>
    <w:rsid w:val="00E254E0"/>
    <w:rsid w:val="00E37214"/>
    <w:rsid w:val="00E44C7D"/>
    <w:rsid w:val="00E476A3"/>
    <w:rsid w:val="00E547A8"/>
    <w:rsid w:val="00E646F7"/>
    <w:rsid w:val="00E70CA9"/>
    <w:rsid w:val="00E74EDF"/>
    <w:rsid w:val="00E7674D"/>
    <w:rsid w:val="00E84F61"/>
    <w:rsid w:val="00E93373"/>
    <w:rsid w:val="00EE3E85"/>
    <w:rsid w:val="00F028A3"/>
    <w:rsid w:val="00F36757"/>
    <w:rsid w:val="00F43E5D"/>
    <w:rsid w:val="00F47453"/>
    <w:rsid w:val="00F63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docs.cntd.ru/document/82290667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ibnorm.ru/Files2/1/4294845/4294845087.htm" TargetMode="External"/><Relationship Id="rId12" Type="http://schemas.openxmlformats.org/officeDocument/2006/relationships/hyperlink" Target="http://libnorm.ru/Files2/1/4294845/4294845079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cntd.ru/document/120000935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ibnorm.ru" TargetMode="External"/><Relationship Id="rId11" Type="http://schemas.openxmlformats.org/officeDocument/2006/relationships/hyperlink" Target="http://libnorm.ru/Files2/1/4294848/4294848888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cntd.ru/document/1200001719" TargetMode="External"/><Relationship Id="rId10" Type="http://schemas.openxmlformats.org/officeDocument/2006/relationships/hyperlink" Target="http://libnorm.ru/Files2/1/4294845/4294845087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FEEE9-07E4-40C0-97DC-608E70D6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44</cp:revision>
  <cp:lastPrinted>2018-08-30T13:19:00Z</cp:lastPrinted>
  <dcterms:created xsi:type="dcterms:W3CDTF">2018-02-08T06:41:00Z</dcterms:created>
  <dcterms:modified xsi:type="dcterms:W3CDTF">2021-01-12T07:52:00Z</dcterms:modified>
</cp:coreProperties>
</file>