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5A" w:rsidRDefault="00197F5A" w:rsidP="001D5773">
      <w:r>
        <w:t xml:space="preserve">                         </w:t>
      </w:r>
      <w:r w:rsidRPr="006150B4">
        <w:t xml:space="preserve">Классификация технологического оборудования, назначение и область применения. </w:t>
      </w:r>
    </w:p>
    <w:p w:rsidR="00602023" w:rsidRDefault="00197F5A" w:rsidP="001D5773">
      <w:r>
        <w:t xml:space="preserve">                                                </w:t>
      </w:r>
      <w:r w:rsidRPr="006150B4">
        <w:t>Режимы</w:t>
      </w:r>
      <w:r>
        <w:t xml:space="preserve"> </w:t>
      </w:r>
      <w:r w:rsidRPr="006150B4">
        <w:t>работы</w:t>
      </w:r>
      <w:r>
        <w:t xml:space="preserve"> </w:t>
      </w:r>
      <w:r w:rsidRPr="006150B4">
        <w:t>технологического оборудования</w:t>
      </w:r>
    </w:p>
    <w:p w:rsidR="00525C14" w:rsidRPr="00875F2A" w:rsidRDefault="007F5649" w:rsidP="00911F47">
      <w:pPr>
        <w:rPr>
          <w:sz w:val="28"/>
        </w:rPr>
      </w:pPr>
      <w:hyperlink r:id="rId6" w:history="1">
        <w:r w:rsidR="00B24E51" w:rsidRPr="005C2513">
          <w:rPr>
            <w:rStyle w:val="ad"/>
          </w:rPr>
          <w:t>http://libnorm.ru</w:t>
        </w:r>
      </w:hyperlink>
      <w:r w:rsidR="00B24E51">
        <w:t xml:space="preserve"> </w:t>
      </w:r>
      <w:r w:rsidR="009E5701">
        <w:t xml:space="preserve"> </w:t>
      </w:r>
    </w:p>
    <w:p w:rsidR="00911F47" w:rsidRPr="00875F2A" w:rsidRDefault="00911F47" w:rsidP="00911F47"/>
    <w:tbl>
      <w:tblPr>
        <w:tblStyle w:val="ae"/>
        <w:tblW w:w="0" w:type="auto"/>
        <w:tblLayout w:type="fixed"/>
        <w:tblLook w:val="04A0"/>
      </w:tblPr>
      <w:tblGrid>
        <w:gridCol w:w="534"/>
        <w:gridCol w:w="2693"/>
        <w:gridCol w:w="2693"/>
        <w:gridCol w:w="2552"/>
        <w:gridCol w:w="2551"/>
      </w:tblGrid>
      <w:tr w:rsidR="00875F2A" w:rsidTr="006277B5">
        <w:tc>
          <w:tcPr>
            <w:tcW w:w="534" w:type="dxa"/>
          </w:tcPr>
          <w:p w:rsidR="00875F2A" w:rsidRPr="00875F2A" w:rsidRDefault="00875F2A" w:rsidP="00525C14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693" w:type="dxa"/>
          </w:tcPr>
          <w:p w:rsidR="00875F2A" w:rsidRPr="00875F2A" w:rsidRDefault="00875F2A" w:rsidP="006277B5">
            <w:r>
              <w:t>Параметры</w:t>
            </w:r>
          </w:p>
        </w:tc>
        <w:tc>
          <w:tcPr>
            <w:tcW w:w="2693" w:type="dxa"/>
          </w:tcPr>
          <w:p w:rsidR="00875F2A" w:rsidRDefault="00875F2A" w:rsidP="00525C14">
            <w:r>
              <w:t>Составляющие</w:t>
            </w:r>
          </w:p>
        </w:tc>
        <w:tc>
          <w:tcPr>
            <w:tcW w:w="2552" w:type="dxa"/>
          </w:tcPr>
          <w:p w:rsidR="00875F2A" w:rsidRDefault="00875F2A" w:rsidP="00525C14">
            <w:proofErr w:type="spellStart"/>
            <w:r>
              <w:t>Подсоставляющие</w:t>
            </w:r>
            <w:proofErr w:type="spellEnd"/>
          </w:p>
        </w:tc>
        <w:tc>
          <w:tcPr>
            <w:tcW w:w="2551" w:type="dxa"/>
          </w:tcPr>
          <w:p w:rsidR="00875F2A" w:rsidRDefault="00875F2A" w:rsidP="00BF551B">
            <w:pPr>
              <w:ind w:firstLine="708"/>
            </w:pPr>
            <w:r>
              <w:t>Прочие составляющие</w:t>
            </w:r>
          </w:p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1</w:t>
            </w:r>
          </w:p>
        </w:tc>
        <w:tc>
          <w:tcPr>
            <w:tcW w:w="2693" w:type="dxa"/>
            <w:vMerge w:val="restart"/>
          </w:tcPr>
          <w:p w:rsidR="006277B5" w:rsidRDefault="006277B5" w:rsidP="006277B5">
            <w:r>
              <w:t>в использовании</w:t>
            </w:r>
          </w:p>
        </w:tc>
        <w:tc>
          <w:tcPr>
            <w:tcW w:w="2693" w:type="dxa"/>
          </w:tcPr>
          <w:p w:rsidR="006277B5" w:rsidRDefault="006277B5" w:rsidP="00525C14">
            <w:r>
              <w:t>Стационарное</w:t>
            </w:r>
          </w:p>
        </w:tc>
        <w:tc>
          <w:tcPr>
            <w:tcW w:w="2552" w:type="dxa"/>
          </w:tcPr>
          <w:p w:rsidR="006277B5" w:rsidRDefault="006277B5" w:rsidP="00525C14">
            <w:r>
              <w:t>Резервированные</w:t>
            </w:r>
          </w:p>
        </w:tc>
        <w:tc>
          <w:tcPr>
            <w:tcW w:w="2551" w:type="dxa"/>
          </w:tcPr>
          <w:p w:rsidR="006277B5" w:rsidRDefault="00BF551B" w:rsidP="00BF551B">
            <w:pPr>
              <w:ind w:firstLine="708"/>
            </w:pPr>
            <w:proofErr w:type="gramStart"/>
            <w:r>
              <w:t>Рабочем</w:t>
            </w:r>
            <w:proofErr w:type="gramEnd"/>
            <w:r>
              <w:t xml:space="preserve"> месте</w:t>
            </w:r>
          </w:p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525C14"/>
        </w:tc>
        <w:tc>
          <w:tcPr>
            <w:tcW w:w="2693" w:type="dxa"/>
          </w:tcPr>
          <w:p w:rsidR="006277B5" w:rsidRDefault="006277B5" w:rsidP="00525C14">
            <w:r>
              <w:t>Бортовое</w:t>
            </w:r>
          </w:p>
        </w:tc>
        <w:tc>
          <w:tcPr>
            <w:tcW w:w="2552" w:type="dxa"/>
          </w:tcPr>
          <w:p w:rsidR="006277B5" w:rsidRDefault="006277B5" w:rsidP="006277B5">
            <w:r>
              <w:t>Не резервируемые</w:t>
            </w:r>
          </w:p>
        </w:tc>
        <w:tc>
          <w:tcPr>
            <w:tcW w:w="2551" w:type="dxa"/>
          </w:tcPr>
          <w:p w:rsidR="006277B5" w:rsidRDefault="00BF551B" w:rsidP="00525C14">
            <w:proofErr w:type="gramStart"/>
            <w:r>
              <w:t>Участке</w:t>
            </w:r>
            <w:proofErr w:type="gramEnd"/>
          </w:p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525C14"/>
        </w:tc>
        <w:tc>
          <w:tcPr>
            <w:tcW w:w="2693" w:type="dxa"/>
          </w:tcPr>
          <w:p w:rsidR="006277B5" w:rsidRDefault="006277B5" w:rsidP="00525C14">
            <w:r>
              <w:t>Переносное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BF551B" w:rsidP="00525C14">
            <w:r>
              <w:t>Цеху и т.п.</w:t>
            </w:r>
          </w:p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2</w:t>
            </w:r>
          </w:p>
        </w:tc>
        <w:tc>
          <w:tcPr>
            <w:tcW w:w="2693" w:type="dxa"/>
            <w:vMerge w:val="restart"/>
          </w:tcPr>
          <w:p w:rsidR="006277B5" w:rsidRDefault="006277B5" w:rsidP="00525C14">
            <w:proofErr w:type="gramStart"/>
            <w:r>
              <w:t>в</w:t>
            </w:r>
            <w:proofErr w:type="gramEnd"/>
            <w:r>
              <w:t xml:space="preserve"> обслуживанию</w:t>
            </w:r>
          </w:p>
        </w:tc>
        <w:tc>
          <w:tcPr>
            <w:tcW w:w="2693" w:type="dxa"/>
          </w:tcPr>
          <w:p w:rsidR="006277B5" w:rsidRDefault="006277B5" w:rsidP="00525C14">
            <w:r>
              <w:t>Основное производство</w:t>
            </w:r>
          </w:p>
        </w:tc>
        <w:tc>
          <w:tcPr>
            <w:tcW w:w="2552" w:type="dxa"/>
          </w:tcPr>
          <w:p w:rsidR="006277B5" w:rsidRDefault="00BF551B" w:rsidP="00525C14">
            <w:r>
              <w:t>Требует ТО</w:t>
            </w:r>
          </w:p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525C14"/>
        </w:tc>
        <w:tc>
          <w:tcPr>
            <w:tcW w:w="2693" w:type="dxa"/>
          </w:tcPr>
          <w:p w:rsidR="006277B5" w:rsidRDefault="006277B5" w:rsidP="00525C14">
            <w:r>
              <w:t>Вспомогательное</w:t>
            </w:r>
          </w:p>
        </w:tc>
        <w:tc>
          <w:tcPr>
            <w:tcW w:w="2552" w:type="dxa"/>
          </w:tcPr>
          <w:p w:rsidR="006277B5" w:rsidRDefault="00BF551B" w:rsidP="00525C14">
            <w:r>
              <w:t>Не требует  ТО</w:t>
            </w:r>
          </w:p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3</w:t>
            </w:r>
          </w:p>
        </w:tc>
        <w:tc>
          <w:tcPr>
            <w:tcW w:w="2693" w:type="dxa"/>
            <w:vMerge w:val="restart"/>
          </w:tcPr>
          <w:p w:rsidR="006277B5" w:rsidRDefault="006277B5" w:rsidP="00525C14">
            <w:r>
              <w:t>в категории применения</w:t>
            </w:r>
          </w:p>
          <w:p w:rsidR="00911F47" w:rsidRPr="00875F2A" w:rsidRDefault="00911F47" w:rsidP="00525C14">
            <w:proofErr w:type="spellStart"/>
            <w:r>
              <w:rPr>
                <w:lang w:val="en-GB"/>
              </w:rPr>
              <w:t>ip</w:t>
            </w:r>
            <w:proofErr w:type="spellEnd"/>
            <w:r w:rsidRPr="00875F2A">
              <w:t xml:space="preserve"> </w:t>
            </w:r>
            <w:r>
              <w:rPr>
                <w:lang w:val="en-GB"/>
              </w:rPr>
              <w:t>xx</w:t>
            </w:r>
          </w:p>
        </w:tc>
        <w:tc>
          <w:tcPr>
            <w:tcW w:w="2693" w:type="dxa"/>
          </w:tcPr>
          <w:p w:rsidR="006277B5" w:rsidRDefault="006277B5" w:rsidP="00525C14">
            <w:r>
              <w:t>Взрывобезопасное</w:t>
            </w:r>
          </w:p>
        </w:tc>
        <w:tc>
          <w:tcPr>
            <w:tcW w:w="2552" w:type="dxa"/>
          </w:tcPr>
          <w:p w:rsidR="006277B5" w:rsidRDefault="006277B5" w:rsidP="002355CC">
            <w:r>
              <w:t>Водонепроницаемое</w:t>
            </w:r>
          </w:p>
        </w:tc>
        <w:tc>
          <w:tcPr>
            <w:tcW w:w="2551" w:type="dxa"/>
          </w:tcPr>
          <w:p w:rsidR="006277B5" w:rsidRDefault="006277B5" w:rsidP="002355CC">
            <w:r>
              <w:t xml:space="preserve">химически инертное </w:t>
            </w:r>
          </w:p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525C14"/>
        </w:tc>
        <w:tc>
          <w:tcPr>
            <w:tcW w:w="2693" w:type="dxa"/>
          </w:tcPr>
          <w:p w:rsidR="006277B5" w:rsidRDefault="006277B5" w:rsidP="00DF1DAD">
            <w:r>
              <w:t xml:space="preserve">Пожара </w:t>
            </w:r>
            <w:proofErr w:type="gramStart"/>
            <w:r>
              <w:t>безопасное</w:t>
            </w:r>
            <w:proofErr w:type="gramEnd"/>
          </w:p>
        </w:tc>
        <w:tc>
          <w:tcPr>
            <w:tcW w:w="2552" w:type="dxa"/>
          </w:tcPr>
          <w:p w:rsidR="006277B5" w:rsidRDefault="006277B5" w:rsidP="002355CC">
            <w:r>
              <w:t>Пыленепроницаемое</w:t>
            </w:r>
          </w:p>
        </w:tc>
        <w:tc>
          <w:tcPr>
            <w:tcW w:w="2551" w:type="dxa"/>
          </w:tcPr>
          <w:p w:rsidR="006277B5" w:rsidRDefault="006277B5" w:rsidP="002355CC">
            <w:r>
              <w:t>Абсорбируемое</w:t>
            </w:r>
          </w:p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4</w:t>
            </w:r>
          </w:p>
        </w:tc>
        <w:tc>
          <w:tcPr>
            <w:tcW w:w="2693" w:type="dxa"/>
            <w:vMerge w:val="restart"/>
          </w:tcPr>
          <w:p w:rsidR="006277B5" w:rsidRDefault="006277B5" w:rsidP="00447DBE">
            <w:r>
              <w:t>в  транспортировке</w:t>
            </w:r>
            <w:r w:rsidR="00930460">
              <w:t xml:space="preserve"> и размещению</w:t>
            </w:r>
          </w:p>
        </w:tc>
        <w:tc>
          <w:tcPr>
            <w:tcW w:w="2693" w:type="dxa"/>
          </w:tcPr>
          <w:p w:rsidR="006277B5" w:rsidRDefault="006277B5" w:rsidP="002355CC">
            <w:proofErr w:type="spellStart"/>
            <w:r>
              <w:t>Вибра</w:t>
            </w:r>
            <w:proofErr w:type="spellEnd"/>
            <w:r>
              <w:t xml:space="preserve"> защита</w:t>
            </w:r>
          </w:p>
        </w:tc>
        <w:tc>
          <w:tcPr>
            <w:tcW w:w="2552" w:type="dxa"/>
          </w:tcPr>
          <w:p w:rsidR="006277B5" w:rsidRDefault="00930460" w:rsidP="00525C14">
            <w:r>
              <w:t>На высоте</w:t>
            </w:r>
          </w:p>
        </w:tc>
        <w:tc>
          <w:tcPr>
            <w:tcW w:w="2551" w:type="dxa"/>
          </w:tcPr>
          <w:p w:rsidR="006277B5" w:rsidRDefault="0072121D" w:rsidP="0072121D">
            <w:r>
              <w:t>РАСПРЕДЕЛЁННОЕ</w:t>
            </w:r>
          </w:p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525C14"/>
        </w:tc>
        <w:tc>
          <w:tcPr>
            <w:tcW w:w="2693" w:type="dxa"/>
          </w:tcPr>
          <w:p w:rsidR="006277B5" w:rsidRDefault="006277B5" w:rsidP="002355CC">
            <w:proofErr w:type="spellStart"/>
            <w:r>
              <w:t>ударостойкость</w:t>
            </w:r>
            <w:proofErr w:type="spellEnd"/>
          </w:p>
        </w:tc>
        <w:tc>
          <w:tcPr>
            <w:tcW w:w="2552" w:type="dxa"/>
          </w:tcPr>
          <w:p w:rsidR="006277B5" w:rsidRDefault="00930460" w:rsidP="00525C14">
            <w:r>
              <w:t>В земле</w:t>
            </w:r>
          </w:p>
        </w:tc>
        <w:tc>
          <w:tcPr>
            <w:tcW w:w="2551" w:type="dxa"/>
          </w:tcPr>
          <w:p w:rsidR="006277B5" w:rsidRDefault="0072121D" w:rsidP="00525C14">
            <w:r>
              <w:t>локальное</w:t>
            </w:r>
          </w:p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5</w:t>
            </w:r>
          </w:p>
        </w:tc>
        <w:tc>
          <w:tcPr>
            <w:tcW w:w="2693" w:type="dxa"/>
            <w:vMerge w:val="restart"/>
          </w:tcPr>
          <w:p w:rsidR="006277B5" w:rsidRDefault="006277B5" w:rsidP="00525C14">
            <w:r>
              <w:t xml:space="preserve"> В совместимости</w:t>
            </w:r>
          </w:p>
        </w:tc>
        <w:tc>
          <w:tcPr>
            <w:tcW w:w="2693" w:type="dxa"/>
          </w:tcPr>
          <w:p w:rsidR="006277B5" w:rsidRDefault="006277B5" w:rsidP="00447DBE">
            <w:r>
              <w:t>Совместимо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525C14"/>
        </w:tc>
        <w:tc>
          <w:tcPr>
            <w:tcW w:w="2693" w:type="dxa"/>
          </w:tcPr>
          <w:p w:rsidR="006277B5" w:rsidRDefault="006277B5" w:rsidP="00525C14">
            <w:r>
              <w:t>Автономно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6</w:t>
            </w:r>
          </w:p>
        </w:tc>
        <w:tc>
          <w:tcPr>
            <w:tcW w:w="2693" w:type="dxa"/>
            <w:vMerge w:val="restart"/>
          </w:tcPr>
          <w:p w:rsidR="006277B5" w:rsidRDefault="006277B5" w:rsidP="00447DBE">
            <w:r>
              <w:t>В ремонтопригодности</w:t>
            </w:r>
          </w:p>
        </w:tc>
        <w:tc>
          <w:tcPr>
            <w:tcW w:w="2693" w:type="dxa"/>
          </w:tcPr>
          <w:p w:rsidR="006277B5" w:rsidRDefault="006277B5" w:rsidP="00525C14">
            <w:r>
              <w:t>Восстанавливаемое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447DBE"/>
        </w:tc>
        <w:tc>
          <w:tcPr>
            <w:tcW w:w="2693" w:type="dxa"/>
          </w:tcPr>
          <w:p w:rsidR="006277B5" w:rsidRDefault="006277B5" w:rsidP="00525C14">
            <w:r>
              <w:t>Не восстанавливаемое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447DBE"/>
        </w:tc>
        <w:tc>
          <w:tcPr>
            <w:tcW w:w="2693" w:type="dxa"/>
          </w:tcPr>
          <w:p w:rsidR="006277B5" w:rsidRDefault="006277B5" w:rsidP="00525C14">
            <w:r>
              <w:t>Одноразовые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7</w:t>
            </w:r>
          </w:p>
        </w:tc>
        <w:tc>
          <w:tcPr>
            <w:tcW w:w="2693" w:type="dxa"/>
            <w:vMerge w:val="restart"/>
          </w:tcPr>
          <w:p w:rsidR="006277B5" w:rsidRDefault="006277B5" w:rsidP="00052870">
            <w:r>
              <w:t xml:space="preserve">В </w:t>
            </w:r>
            <w:proofErr w:type="spellStart"/>
            <w:r>
              <w:t>сохраняемости</w:t>
            </w:r>
            <w:proofErr w:type="spellEnd"/>
          </w:p>
        </w:tc>
        <w:tc>
          <w:tcPr>
            <w:tcW w:w="2693" w:type="dxa"/>
          </w:tcPr>
          <w:p w:rsidR="006277B5" w:rsidRDefault="006277B5" w:rsidP="00525C14">
            <w:r>
              <w:t>Контроль годности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447DBE"/>
        </w:tc>
        <w:tc>
          <w:tcPr>
            <w:tcW w:w="2693" w:type="dxa"/>
          </w:tcPr>
          <w:p w:rsidR="006277B5" w:rsidRDefault="006277B5" w:rsidP="00525C14">
            <w:r>
              <w:t>Бессрочные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447DBE"/>
        </w:tc>
        <w:tc>
          <w:tcPr>
            <w:tcW w:w="2693" w:type="dxa"/>
          </w:tcPr>
          <w:p w:rsidR="006277B5" w:rsidRDefault="006277B5" w:rsidP="00525C14">
            <w:r>
              <w:t>Гарантийный срок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 w:val="restart"/>
          </w:tcPr>
          <w:p w:rsidR="006277B5" w:rsidRDefault="006277B5" w:rsidP="00525C14">
            <w:r>
              <w:t>8</w:t>
            </w:r>
          </w:p>
        </w:tc>
        <w:tc>
          <w:tcPr>
            <w:tcW w:w="2693" w:type="dxa"/>
            <w:vMerge w:val="restart"/>
          </w:tcPr>
          <w:p w:rsidR="006277B5" w:rsidRDefault="006277B5" w:rsidP="00447DBE">
            <w:r>
              <w:t>В целесообразности</w:t>
            </w:r>
          </w:p>
        </w:tc>
        <w:tc>
          <w:tcPr>
            <w:tcW w:w="2693" w:type="dxa"/>
          </w:tcPr>
          <w:p w:rsidR="006277B5" w:rsidRDefault="006277B5" w:rsidP="00525C14">
            <w:r>
              <w:t>Серийный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447DBE"/>
        </w:tc>
        <w:tc>
          <w:tcPr>
            <w:tcW w:w="2693" w:type="dxa"/>
          </w:tcPr>
          <w:p w:rsidR="006277B5" w:rsidRDefault="006277B5" w:rsidP="00525C14">
            <w:r>
              <w:t>Мелкосерийный</w:t>
            </w:r>
          </w:p>
        </w:tc>
        <w:tc>
          <w:tcPr>
            <w:tcW w:w="2552" w:type="dxa"/>
          </w:tcPr>
          <w:p w:rsidR="006277B5" w:rsidRDefault="0072121D" w:rsidP="00525C14">
            <w:r>
              <w:t>КРУПНОСЕРИЙНЫЙ</w:t>
            </w:r>
          </w:p>
        </w:tc>
        <w:tc>
          <w:tcPr>
            <w:tcW w:w="2551" w:type="dxa"/>
          </w:tcPr>
          <w:p w:rsidR="006277B5" w:rsidRDefault="0072121D" w:rsidP="00525C14">
            <w:r>
              <w:t>МАССОВЫЙ</w:t>
            </w:r>
          </w:p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447DBE"/>
        </w:tc>
        <w:tc>
          <w:tcPr>
            <w:tcW w:w="2693" w:type="dxa"/>
          </w:tcPr>
          <w:p w:rsidR="006277B5" w:rsidRDefault="006277B5" w:rsidP="00525C14">
            <w:r>
              <w:t>Единичный</w:t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6277B5" w:rsidTr="006277B5">
        <w:tc>
          <w:tcPr>
            <w:tcW w:w="534" w:type="dxa"/>
            <w:vMerge/>
          </w:tcPr>
          <w:p w:rsidR="006277B5" w:rsidRDefault="006277B5" w:rsidP="00525C14"/>
        </w:tc>
        <w:tc>
          <w:tcPr>
            <w:tcW w:w="2693" w:type="dxa"/>
            <w:vMerge/>
          </w:tcPr>
          <w:p w:rsidR="006277B5" w:rsidRDefault="006277B5" w:rsidP="00447DBE"/>
        </w:tc>
        <w:tc>
          <w:tcPr>
            <w:tcW w:w="2693" w:type="dxa"/>
          </w:tcPr>
          <w:p w:rsidR="006277B5" w:rsidRDefault="006277B5" w:rsidP="0072121D">
            <w:pPr>
              <w:tabs>
                <w:tab w:val="left" w:pos="1774"/>
              </w:tabs>
            </w:pPr>
            <w:r>
              <w:t>эксклюзивный</w:t>
            </w:r>
            <w:r w:rsidR="0072121D">
              <w:tab/>
            </w:r>
          </w:p>
        </w:tc>
        <w:tc>
          <w:tcPr>
            <w:tcW w:w="2552" w:type="dxa"/>
          </w:tcPr>
          <w:p w:rsidR="006277B5" w:rsidRDefault="006277B5" w:rsidP="00525C14"/>
        </w:tc>
        <w:tc>
          <w:tcPr>
            <w:tcW w:w="2551" w:type="dxa"/>
          </w:tcPr>
          <w:p w:rsidR="006277B5" w:rsidRDefault="006277B5" w:rsidP="00525C14"/>
        </w:tc>
      </w:tr>
      <w:tr w:rsidR="002E769B" w:rsidTr="006277B5">
        <w:tc>
          <w:tcPr>
            <w:tcW w:w="534" w:type="dxa"/>
            <w:vMerge w:val="restart"/>
          </w:tcPr>
          <w:p w:rsidR="002E769B" w:rsidRDefault="002E769B" w:rsidP="00525C14">
            <w:r>
              <w:t>9</w:t>
            </w:r>
          </w:p>
        </w:tc>
        <w:tc>
          <w:tcPr>
            <w:tcW w:w="2693" w:type="dxa"/>
            <w:vMerge w:val="restart"/>
          </w:tcPr>
          <w:p w:rsidR="002E769B" w:rsidRDefault="002E769B" w:rsidP="00447DBE">
            <w:r>
              <w:t>Долговечность</w:t>
            </w:r>
          </w:p>
        </w:tc>
        <w:tc>
          <w:tcPr>
            <w:tcW w:w="2693" w:type="dxa"/>
          </w:tcPr>
          <w:p w:rsidR="002E769B" w:rsidRDefault="002E769B" w:rsidP="006277B5">
            <w:r>
              <w:t>Нал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м</w:t>
            </w:r>
            <w:proofErr w:type="gramEnd"/>
            <w:r>
              <w:t>орального износа</w:t>
            </w:r>
          </w:p>
        </w:tc>
        <w:tc>
          <w:tcPr>
            <w:tcW w:w="2552" w:type="dxa"/>
          </w:tcPr>
          <w:p w:rsidR="002E769B" w:rsidRDefault="002E769B" w:rsidP="00525C14">
            <w:r>
              <w:t>Нал потери прочности</w:t>
            </w:r>
          </w:p>
        </w:tc>
        <w:tc>
          <w:tcPr>
            <w:tcW w:w="2551" w:type="dxa"/>
          </w:tcPr>
          <w:p w:rsidR="002E769B" w:rsidRDefault="002E769B" w:rsidP="00525C14">
            <w:r>
              <w:t>Нал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д</w:t>
            </w:r>
            <w:proofErr w:type="gramEnd"/>
            <w:r>
              <w:t>еформаций</w:t>
            </w:r>
          </w:p>
        </w:tc>
      </w:tr>
      <w:tr w:rsidR="002E769B" w:rsidTr="006277B5">
        <w:tc>
          <w:tcPr>
            <w:tcW w:w="534" w:type="dxa"/>
            <w:vMerge/>
          </w:tcPr>
          <w:p w:rsidR="002E769B" w:rsidRDefault="002E769B" w:rsidP="00525C14"/>
        </w:tc>
        <w:tc>
          <w:tcPr>
            <w:tcW w:w="2693" w:type="dxa"/>
            <w:vMerge/>
          </w:tcPr>
          <w:p w:rsidR="002E769B" w:rsidRDefault="002E769B" w:rsidP="00447DBE"/>
        </w:tc>
        <w:tc>
          <w:tcPr>
            <w:tcW w:w="2693" w:type="dxa"/>
          </w:tcPr>
          <w:p w:rsidR="002E769B" w:rsidRDefault="002E769B" w:rsidP="006277B5">
            <w:r>
              <w:t>Отсутствие</w:t>
            </w:r>
          </w:p>
        </w:tc>
        <w:tc>
          <w:tcPr>
            <w:tcW w:w="2552" w:type="dxa"/>
          </w:tcPr>
          <w:p w:rsidR="002E769B" w:rsidRDefault="002E769B" w:rsidP="00525C14">
            <w:r>
              <w:t>Отсутствие</w:t>
            </w:r>
          </w:p>
        </w:tc>
        <w:tc>
          <w:tcPr>
            <w:tcW w:w="2551" w:type="dxa"/>
          </w:tcPr>
          <w:p w:rsidR="002E769B" w:rsidRDefault="0072121D" w:rsidP="00525C14">
            <w:r>
              <w:t>О</w:t>
            </w:r>
            <w:r w:rsidR="002E769B">
              <w:t>тсутствие</w:t>
            </w:r>
          </w:p>
        </w:tc>
      </w:tr>
    </w:tbl>
    <w:p w:rsidR="00930460" w:rsidRDefault="00930460" w:rsidP="00525C14"/>
    <w:p w:rsidR="00930460" w:rsidRDefault="00930460" w:rsidP="00525C14">
      <w:r>
        <w:t>Циклы работы</w:t>
      </w:r>
    </w:p>
    <w:p w:rsidR="00930460" w:rsidRDefault="00930460" w:rsidP="00525C14">
      <w:r>
        <w:t xml:space="preserve">               Старт                прогон                   пауза                Стоп</w:t>
      </w:r>
    </w:p>
    <w:p w:rsidR="00930460" w:rsidRDefault="00930460" w:rsidP="00525C14"/>
    <w:p w:rsidR="00930460" w:rsidRDefault="00930460" w:rsidP="00525C14">
      <w:r>
        <w:t>Режимы работы</w:t>
      </w:r>
    </w:p>
    <w:p w:rsidR="00930460" w:rsidRDefault="00930460" w:rsidP="00525C14">
      <w:r>
        <w:t xml:space="preserve">                  Холостой ход                   Нагруженный</w:t>
      </w:r>
      <w:proofErr w:type="gramStart"/>
      <w:r>
        <w:t xml:space="preserve">                   Н</w:t>
      </w:r>
      <w:proofErr w:type="gramEnd"/>
      <w:r>
        <w:t>е нагруженный</w:t>
      </w:r>
    </w:p>
    <w:p w:rsidR="00930460" w:rsidRDefault="00930460" w:rsidP="00525C14">
      <w:r>
        <w:t xml:space="preserve">                   Аварийный</w:t>
      </w:r>
    </w:p>
    <w:p w:rsidR="00930460" w:rsidRDefault="00930460" w:rsidP="00525C14">
      <w:r>
        <w:t xml:space="preserve">                   </w:t>
      </w:r>
      <w:proofErr w:type="spellStart"/>
      <w:r>
        <w:t>Форсажный</w:t>
      </w:r>
      <w:proofErr w:type="spellEnd"/>
    </w:p>
    <w:p w:rsidR="00930460" w:rsidRDefault="00930460" w:rsidP="00525C14">
      <w:r>
        <w:t xml:space="preserve">                   </w:t>
      </w:r>
      <w:proofErr w:type="spellStart"/>
      <w:r>
        <w:t>Можеритарный</w:t>
      </w:r>
      <w:proofErr w:type="spellEnd"/>
      <w:r>
        <w:t xml:space="preserve"> – смена режимов.</w:t>
      </w:r>
    </w:p>
    <w:p w:rsidR="00930460" w:rsidRDefault="00930460" w:rsidP="00525C14"/>
    <w:p w:rsidR="00930460" w:rsidRDefault="00930460" w:rsidP="00525C14">
      <w:r>
        <w:t>Режимы эксплуатации</w:t>
      </w:r>
    </w:p>
    <w:p w:rsidR="00930460" w:rsidRDefault="00930460" w:rsidP="00525C14">
      <w:r>
        <w:t xml:space="preserve">              Ручной                  Полуавтоматический                   Автоматический</w:t>
      </w:r>
    </w:p>
    <w:p w:rsidR="00930460" w:rsidRDefault="00930460" w:rsidP="00525C14"/>
    <w:p w:rsidR="00930460" w:rsidRDefault="00930460" w:rsidP="00525C14">
      <w:r>
        <w:t>Условия использования</w:t>
      </w:r>
    </w:p>
    <w:p w:rsidR="00930460" w:rsidRDefault="00930460" w:rsidP="00525C14">
      <w:r>
        <w:t xml:space="preserve">              Рабочий</w:t>
      </w:r>
    </w:p>
    <w:p w:rsidR="00930460" w:rsidRDefault="00930460" w:rsidP="00525C14">
      <w:r>
        <w:t xml:space="preserve">               Наладочный</w:t>
      </w:r>
    </w:p>
    <w:p w:rsidR="00930460" w:rsidRDefault="00930460" w:rsidP="00525C14">
      <w:r>
        <w:t xml:space="preserve">                Испытательный</w:t>
      </w:r>
    </w:p>
    <w:p w:rsidR="00930460" w:rsidRDefault="00930460" w:rsidP="00525C14">
      <w:pPr>
        <w:rPr>
          <w:lang w:val="en-GB"/>
        </w:rPr>
      </w:pPr>
      <w:r>
        <w:t xml:space="preserve">                 </w:t>
      </w:r>
      <w:r w:rsidR="00911F47">
        <w:t>О</w:t>
      </w:r>
      <w:r>
        <w:t>бкатки</w:t>
      </w:r>
    </w:p>
    <w:p w:rsidR="00911F47" w:rsidRPr="00911F47" w:rsidRDefault="00911F47" w:rsidP="00911F47">
      <w:pPr>
        <w:rPr>
          <w:lang w:val="en-GB"/>
        </w:rPr>
      </w:pPr>
    </w:p>
    <w:p w:rsidR="00911F47" w:rsidRPr="00911F47" w:rsidRDefault="00911F47" w:rsidP="00911F47">
      <w:pPr>
        <w:rPr>
          <w:lang w:val="en-GB"/>
        </w:rPr>
      </w:pPr>
      <w:r>
        <w:t>Также смотрите</w:t>
      </w:r>
      <w:r>
        <w:rPr>
          <w:lang w:val="en-GB"/>
        </w:rPr>
        <w:t>:</w:t>
      </w:r>
    </w:p>
    <w:p w:rsidR="00911F47" w:rsidRPr="00911F47" w:rsidRDefault="00911F47" w:rsidP="00911F47">
      <w:pPr>
        <w:rPr>
          <w:lang w:val="en-GB"/>
        </w:rPr>
      </w:pPr>
      <w:r w:rsidRPr="00447DBE">
        <w:rPr>
          <w:sz w:val="28"/>
        </w:rPr>
        <w:t xml:space="preserve">ГОСТ 3.1109-82 Единая система технологической документации (ЕСТД). Термины и определения основных понятий </w:t>
      </w:r>
      <w:r>
        <w:rPr>
          <w:sz w:val="28"/>
          <w:lang w:val="en-GB"/>
        </w:rPr>
        <w:t xml:space="preserve"> </w:t>
      </w:r>
    </w:p>
    <w:sectPr w:rsidR="00911F47" w:rsidRPr="00911F47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98C"/>
    <w:rsid w:val="00035A43"/>
    <w:rsid w:val="00040A70"/>
    <w:rsid w:val="000430D4"/>
    <w:rsid w:val="00052870"/>
    <w:rsid w:val="0005454B"/>
    <w:rsid w:val="00054786"/>
    <w:rsid w:val="0009086F"/>
    <w:rsid w:val="00092B80"/>
    <w:rsid w:val="000C00D1"/>
    <w:rsid w:val="000C4353"/>
    <w:rsid w:val="00106B5B"/>
    <w:rsid w:val="00122057"/>
    <w:rsid w:val="00133378"/>
    <w:rsid w:val="001478DD"/>
    <w:rsid w:val="001515DD"/>
    <w:rsid w:val="0017049C"/>
    <w:rsid w:val="00170E49"/>
    <w:rsid w:val="001849FB"/>
    <w:rsid w:val="00184E7F"/>
    <w:rsid w:val="00195774"/>
    <w:rsid w:val="00195BB1"/>
    <w:rsid w:val="00196AF7"/>
    <w:rsid w:val="00197F5A"/>
    <w:rsid w:val="001A578F"/>
    <w:rsid w:val="001C198E"/>
    <w:rsid w:val="001C3641"/>
    <w:rsid w:val="001D4E58"/>
    <w:rsid w:val="001D5773"/>
    <w:rsid w:val="001E677D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63C6B"/>
    <w:rsid w:val="002804D8"/>
    <w:rsid w:val="002A66CC"/>
    <w:rsid w:val="002C472F"/>
    <w:rsid w:val="002D11CE"/>
    <w:rsid w:val="002D134A"/>
    <w:rsid w:val="002D1C05"/>
    <w:rsid w:val="002E614C"/>
    <w:rsid w:val="002E769B"/>
    <w:rsid w:val="00315C7E"/>
    <w:rsid w:val="00320313"/>
    <w:rsid w:val="00320785"/>
    <w:rsid w:val="00321D56"/>
    <w:rsid w:val="00332BAC"/>
    <w:rsid w:val="00363F8E"/>
    <w:rsid w:val="0036461B"/>
    <w:rsid w:val="00365334"/>
    <w:rsid w:val="003766E0"/>
    <w:rsid w:val="0038689F"/>
    <w:rsid w:val="00395B92"/>
    <w:rsid w:val="003A02B8"/>
    <w:rsid w:val="003A4AD2"/>
    <w:rsid w:val="003D5344"/>
    <w:rsid w:val="003F67CB"/>
    <w:rsid w:val="00423693"/>
    <w:rsid w:val="00435C58"/>
    <w:rsid w:val="00447DBE"/>
    <w:rsid w:val="00450673"/>
    <w:rsid w:val="0049335B"/>
    <w:rsid w:val="00497FA7"/>
    <w:rsid w:val="004A0349"/>
    <w:rsid w:val="004B0629"/>
    <w:rsid w:val="004C65C2"/>
    <w:rsid w:val="004D13C9"/>
    <w:rsid w:val="004E3BB4"/>
    <w:rsid w:val="004F26F4"/>
    <w:rsid w:val="0050501B"/>
    <w:rsid w:val="00510234"/>
    <w:rsid w:val="00523BB4"/>
    <w:rsid w:val="00525C14"/>
    <w:rsid w:val="00534507"/>
    <w:rsid w:val="0055592F"/>
    <w:rsid w:val="00575AAB"/>
    <w:rsid w:val="00593354"/>
    <w:rsid w:val="005A1F58"/>
    <w:rsid w:val="005A4209"/>
    <w:rsid w:val="005A55F0"/>
    <w:rsid w:val="005D00B9"/>
    <w:rsid w:val="005D57B9"/>
    <w:rsid w:val="005D581E"/>
    <w:rsid w:val="005F06F2"/>
    <w:rsid w:val="00602023"/>
    <w:rsid w:val="0060568C"/>
    <w:rsid w:val="00614351"/>
    <w:rsid w:val="006152C8"/>
    <w:rsid w:val="006277B5"/>
    <w:rsid w:val="006453FF"/>
    <w:rsid w:val="0064608E"/>
    <w:rsid w:val="00676C29"/>
    <w:rsid w:val="006863E0"/>
    <w:rsid w:val="006A53D0"/>
    <w:rsid w:val="006B5BFE"/>
    <w:rsid w:val="006D2FF1"/>
    <w:rsid w:val="006D4A57"/>
    <w:rsid w:val="006F25E9"/>
    <w:rsid w:val="00706AAD"/>
    <w:rsid w:val="00706BEE"/>
    <w:rsid w:val="00720DFF"/>
    <w:rsid w:val="0072121D"/>
    <w:rsid w:val="007226A6"/>
    <w:rsid w:val="00731FFD"/>
    <w:rsid w:val="00734DEF"/>
    <w:rsid w:val="007418A6"/>
    <w:rsid w:val="00751871"/>
    <w:rsid w:val="007924D3"/>
    <w:rsid w:val="007F5649"/>
    <w:rsid w:val="00804322"/>
    <w:rsid w:val="00820CEF"/>
    <w:rsid w:val="00835E7E"/>
    <w:rsid w:val="00842D13"/>
    <w:rsid w:val="00844940"/>
    <w:rsid w:val="00847F64"/>
    <w:rsid w:val="00866CD9"/>
    <w:rsid w:val="00872A0C"/>
    <w:rsid w:val="00875F2A"/>
    <w:rsid w:val="008808E9"/>
    <w:rsid w:val="008915C5"/>
    <w:rsid w:val="008A7147"/>
    <w:rsid w:val="008B61C4"/>
    <w:rsid w:val="008B7948"/>
    <w:rsid w:val="008D619E"/>
    <w:rsid w:val="008E456C"/>
    <w:rsid w:val="008E6919"/>
    <w:rsid w:val="00911F47"/>
    <w:rsid w:val="00924112"/>
    <w:rsid w:val="00930460"/>
    <w:rsid w:val="00932308"/>
    <w:rsid w:val="009337F9"/>
    <w:rsid w:val="00947B9D"/>
    <w:rsid w:val="00952235"/>
    <w:rsid w:val="00974420"/>
    <w:rsid w:val="00981688"/>
    <w:rsid w:val="00981DF3"/>
    <w:rsid w:val="0098374B"/>
    <w:rsid w:val="009A4078"/>
    <w:rsid w:val="009A7912"/>
    <w:rsid w:val="009B4531"/>
    <w:rsid w:val="009C74E1"/>
    <w:rsid w:val="009D0F76"/>
    <w:rsid w:val="009E53B6"/>
    <w:rsid w:val="009E5701"/>
    <w:rsid w:val="009F54E9"/>
    <w:rsid w:val="00A051FD"/>
    <w:rsid w:val="00A07EBF"/>
    <w:rsid w:val="00A10AF1"/>
    <w:rsid w:val="00A13EBE"/>
    <w:rsid w:val="00A2189B"/>
    <w:rsid w:val="00A24E14"/>
    <w:rsid w:val="00A32BBD"/>
    <w:rsid w:val="00A614F9"/>
    <w:rsid w:val="00A655E4"/>
    <w:rsid w:val="00A724F4"/>
    <w:rsid w:val="00A74304"/>
    <w:rsid w:val="00A81BBB"/>
    <w:rsid w:val="00A874DE"/>
    <w:rsid w:val="00AA0E4D"/>
    <w:rsid w:val="00AB13F5"/>
    <w:rsid w:val="00AB4AAF"/>
    <w:rsid w:val="00AF0008"/>
    <w:rsid w:val="00AF3EF4"/>
    <w:rsid w:val="00AF63AD"/>
    <w:rsid w:val="00B22493"/>
    <w:rsid w:val="00B24E51"/>
    <w:rsid w:val="00B37810"/>
    <w:rsid w:val="00B40B43"/>
    <w:rsid w:val="00B4232B"/>
    <w:rsid w:val="00B770E3"/>
    <w:rsid w:val="00B9134E"/>
    <w:rsid w:val="00B9484C"/>
    <w:rsid w:val="00B94F5A"/>
    <w:rsid w:val="00BA08F7"/>
    <w:rsid w:val="00BB2DA0"/>
    <w:rsid w:val="00BD3CD9"/>
    <w:rsid w:val="00BF551B"/>
    <w:rsid w:val="00C333BB"/>
    <w:rsid w:val="00C35005"/>
    <w:rsid w:val="00C61A7A"/>
    <w:rsid w:val="00C61D09"/>
    <w:rsid w:val="00C62553"/>
    <w:rsid w:val="00C62FF1"/>
    <w:rsid w:val="00C73BB6"/>
    <w:rsid w:val="00C77358"/>
    <w:rsid w:val="00C97714"/>
    <w:rsid w:val="00CB58EB"/>
    <w:rsid w:val="00CD17F7"/>
    <w:rsid w:val="00CF0110"/>
    <w:rsid w:val="00CF0765"/>
    <w:rsid w:val="00D20AFC"/>
    <w:rsid w:val="00D9054A"/>
    <w:rsid w:val="00D977B5"/>
    <w:rsid w:val="00DB1DC4"/>
    <w:rsid w:val="00DC70B0"/>
    <w:rsid w:val="00DE5335"/>
    <w:rsid w:val="00DF1DAD"/>
    <w:rsid w:val="00DF6F12"/>
    <w:rsid w:val="00E05D5F"/>
    <w:rsid w:val="00E063D5"/>
    <w:rsid w:val="00E254E0"/>
    <w:rsid w:val="00E37214"/>
    <w:rsid w:val="00E44C7D"/>
    <w:rsid w:val="00E476A3"/>
    <w:rsid w:val="00E53ACD"/>
    <w:rsid w:val="00E547A8"/>
    <w:rsid w:val="00E61277"/>
    <w:rsid w:val="00E646F7"/>
    <w:rsid w:val="00E67E56"/>
    <w:rsid w:val="00E70CA9"/>
    <w:rsid w:val="00E74EDF"/>
    <w:rsid w:val="00E7674D"/>
    <w:rsid w:val="00E84F61"/>
    <w:rsid w:val="00E93373"/>
    <w:rsid w:val="00EA311F"/>
    <w:rsid w:val="00EE3E85"/>
    <w:rsid w:val="00F028A3"/>
    <w:rsid w:val="00F23046"/>
    <w:rsid w:val="00F36757"/>
    <w:rsid w:val="00F43E5D"/>
    <w:rsid w:val="00F45279"/>
    <w:rsid w:val="00F47453"/>
    <w:rsid w:val="00F634D8"/>
    <w:rsid w:val="00FC0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bnorm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C054-21F8-4BA6-A010-87E6D2D4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57</cp:revision>
  <cp:lastPrinted>2018-08-30T13:19:00Z</cp:lastPrinted>
  <dcterms:created xsi:type="dcterms:W3CDTF">2018-02-08T06:41:00Z</dcterms:created>
  <dcterms:modified xsi:type="dcterms:W3CDTF">2021-01-12T10:09:00Z</dcterms:modified>
</cp:coreProperties>
</file>