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6F" w:rsidRPr="00A675B8" w:rsidRDefault="00CB2435" w:rsidP="00A675B8">
      <w:pPr>
        <w:jc w:val="center"/>
        <w:rPr>
          <w:sz w:val="28"/>
        </w:rPr>
      </w:pPr>
      <w:r w:rsidRPr="00A675B8">
        <w:rPr>
          <w:sz w:val="28"/>
        </w:rPr>
        <w:t xml:space="preserve">Мероприятия по организации анализа </w:t>
      </w:r>
      <w:proofErr w:type="spellStart"/>
      <w:r w:rsidRPr="00A675B8">
        <w:rPr>
          <w:sz w:val="28"/>
        </w:rPr>
        <w:t>мехатронных</w:t>
      </w:r>
      <w:proofErr w:type="spellEnd"/>
      <w:r w:rsidRPr="00A675B8">
        <w:rPr>
          <w:sz w:val="28"/>
        </w:rPr>
        <w:t xml:space="preserve"> систем.</w:t>
      </w:r>
    </w:p>
    <w:p w:rsidR="00CB2435" w:rsidRDefault="00CB2435" w:rsidP="00CB2435"/>
    <w:p w:rsidR="00CB2435" w:rsidRDefault="00CB2435" w:rsidP="00CB2435">
      <w:r>
        <w:t>Уровень механизации.</w:t>
      </w:r>
    </w:p>
    <w:p w:rsidR="00CB2435" w:rsidRDefault="00CB2435" w:rsidP="00CB2435">
      <w:r>
        <w:t>Уровень автоматизации.</w:t>
      </w:r>
    </w:p>
    <w:p w:rsidR="00CB2435" w:rsidRDefault="00B87AEC" w:rsidP="00CB2435">
      <w:r>
        <w:t>Глубина автоматизации</w:t>
      </w:r>
    </w:p>
    <w:p w:rsidR="00B87AEC" w:rsidRDefault="00B87AEC" w:rsidP="00CB2435">
      <w:r>
        <w:t>Глубина механизации</w:t>
      </w:r>
    </w:p>
    <w:p w:rsidR="00DD6B29" w:rsidRDefault="00DD6B29" w:rsidP="00CB2435"/>
    <w:p w:rsidR="00DD6B29" w:rsidRPr="00DD6B29" w:rsidRDefault="00DD6B29" w:rsidP="00CB2435">
      <w:r>
        <w:t>Мероприятия</w:t>
      </w:r>
      <w:r w:rsidRPr="00DD6B29">
        <w:t>:</w:t>
      </w:r>
    </w:p>
    <w:p w:rsidR="00DD6B29" w:rsidRDefault="00DD6B29" w:rsidP="00CB2435">
      <w:r w:rsidRPr="00DD6B29">
        <w:t xml:space="preserve"> </w:t>
      </w:r>
      <w:r>
        <w:t>Контроль обеспечения условий работ – регистрация в журнале.</w:t>
      </w:r>
    </w:p>
    <w:p w:rsidR="00DD6B29" w:rsidRDefault="00DD6B29" w:rsidP="00CB2435">
      <w:r>
        <w:t>Контроль проведения ТО – регистрация в журнале.</w:t>
      </w:r>
    </w:p>
    <w:p w:rsidR="00DD6B29" w:rsidRDefault="00DD6B29" w:rsidP="00CB2435">
      <w:r>
        <w:t>Контроль проведения КР  - оценка среднего срока службы</w:t>
      </w:r>
    </w:p>
    <w:p w:rsidR="00DD6B29" w:rsidRDefault="00DD6B29" w:rsidP="00CB2435">
      <w:r>
        <w:t xml:space="preserve">Контроль </w:t>
      </w:r>
      <w:r w:rsidR="00064F50">
        <w:t>интенсивности использования – анализ по документам.</w:t>
      </w:r>
    </w:p>
    <w:p w:rsidR="00064F50" w:rsidRDefault="00064F50" w:rsidP="00CB2435">
      <w:r>
        <w:t>Контроль интенсивности отказов.</w:t>
      </w:r>
    </w:p>
    <w:p w:rsidR="00064F50" w:rsidRDefault="00064F50" w:rsidP="00CB2435">
      <w:r>
        <w:t>Контроль готовности</w:t>
      </w:r>
    </w:p>
    <w:p w:rsidR="00064F50" w:rsidRDefault="00064F50" w:rsidP="00CB2435">
      <w:r>
        <w:t>Контроль работоспособности.</w:t>
      </w:r>
    </w:p>
    <w:p w:rsidR="00EF076E" w:rsidRPr="00EF076E" w:rsidRDefault="00EF076E" w:rsidP="00EF076E">
      <w:pPr>
        <w:pStyle w:val="a9"/>
        <w:rPr>
          <w:b/>
        </w:rPr>
      </w:pPr>
      <w:r>
        <w:tab/>
      </w:r>
      <w:r w:rsidRPr="00EF076E">
        <w:rPr>
          <w:b/>
          <w:sz w:val="32"/>
        </w:rPr>
        <w:t xml:space="preserve">ГОСТ </w:t>
      </w:r>
      <w:proofErr w:type="gramStart"/>
      <w:r w:rsidRPr="00EF076E">
        <w:rPr>
          <w:b/>
          <w:sz w:val="32"/>
        </w:rPr>
        <w:t>Р</w:t>
      </w:r>
      <w:proofErr w:type="gramEnd"/>
      <w:r w:rsidRPr="00EF076E">
        <w:rPr>
          <w:b/>
          <w:sz w:val="32"/>
        </w:rPr>
        <w:t xml:space="preserve"> 8.820-2013 Государственная система обеспечения единства измерений (ГСИ). </w:t>
      </w:r>
      <w:proofErr w:type="spellStart"/>
      <w:r w:rsidRPr="00EF076E">
        <w:rPr>
          <w:b/>
          <w:sz w:val="32"/>
        </w:rPr>
        <w:t>Метрологическое</w:t>
      </w:r>
      <w:proofErr w:type="spellEnd"/>
      <w:r w:rsidRPr="00EF076E">
        <w:rPr>
          <w:b/>
          <w:sz w:val="32"/>
        </w:rPr>
        <w:t xml:space="preserve"> </w:t>
      </w:r>
      <w:proofErr w:type="spellStart"/>
      <w:r w:rsidRPr="00EF076E">
        <w:rPr>
          <w:b/>
          <w:sz w:val="32"/>
        </w:rPr>
        <w:t>обеспечение</w:t>
      </w:r>
      <w:proofErr w:type="spellEnd"/>
      <w:r w:rsidRPr="00EF076E">
        <w:rPr>
          <w:b/>
          <w:sz w:val="32"/>
        </w:rPr>
        <w:t xml:space="preserve">. </w:t>
      </w:r>
      <w:proofErr w:type="spellStart"/>
      <w:r w:rsidRPr="00EF076E">
        <w:rPr>
          <w:b/>
          <w:sz w:val="32"/>
        </w:rPr>
        <w:t>Основные</w:t>
      </w:r>
      <w:proofErr w:type="spellEnd"/>
      <w:r w:rsidRPr="00EF076E">
        <w:rPr>
          <w:b/>
          <w:sz w:val="32"/>
        </w:rPr>
        <w:t xml:space="preserve"> </w:t>
      </w:r>
      <w:proofErr w:type="spellStart"/>
      <w:r w:rsidRPr="00EF076E">
        <w:rPr>
          <w:b/>
          <w:sz w:val="32"/>
        </w:rPr>
        <w:t>положения</w:t>
      </w:r>
      <w:proofErr w:type="spellEnd"/>
      <w:r w:rsidRPr="00EF076E">
        <w:rPr>
          <w:b/>
          <w:sz w:val="32"/>
        </w:rPr>
        <w:t xml:space="preserve"> </w:t>
      </w:r>
    </w:p>
    <w:p w:rsidR="00064F50" w:rsidRDefault="00064F50" w:rsidP="00EF076E">
      <w:pPr>
        <w:tabs>
          <w:tab w:val="left" w:pos="1728"/>
        </w:tabs>
      </w:pPr>
    </w:p>
    <w:p w:rsidR="00064F50" w:rsidRDefault="00064F50" w:rsidP="00CB2435">
      <w:r>
        <w:t>Оценка КПД = произведено / затрачено.</w:t>
      </w:r>
    </w:p>
    <w:p w:rsidR="00064F50" w:rsidRDefault="00064F50" w:rsidP="00CB2435"/>
    <w:p w:rsidR="00064F50" w:rsidRDefault="00064F50" w:rsidP="00CB2435">
      <w:r>
        <w:t>Наличие документации – эксплуатационной.</w:t>
      </w:r>
    </w:p>
    <w:p w:rsidR="00064F50" w:rsidRDefault="00064F50" w:rsidP="00CB2435">
      <w:r>
        <w:t>Наличие сервис центров</w:t>
      </w:r>
    </w:p>
    <w:p w:rsidR="00064F50" w:rsidRDefault="00064F50" w:rsidP="00CB2435">
      <w:r>
        <w:t xml:space="preserve">Наличие  </w:t>
      </w:r>
      <w:r w:rsidR="004D43A4">
        <w:t>тех. Поддержки.</w:t>
      </w:r>
    </w:p>
    <w:p w:rsidR="004D43A4" w:rsidRDefault="004D43A4" w:rsidP="00CB2435"/>
    <w:p w:rsidR="004D43A4" w:rsidRDefault="004D43A4" w:rsidP="00CB2435">
      <w:r>
        <w:t>Возможность модернизации и адаптации,  наращивания и утилизации.</w:t>
      </w:r>
    </w:p>
    <w:p w:rsidR="00DD6B29" w:rsidRPr="00DD6B29" w:rsidRDefault="00DD6B29" w:rsidP="00CB2435"/>
    <w:p w:rsidR="00B87AEC" w:rsidRDefault="00B87AEC" w:rsidP="00CB2435"/>
    <w:p w:rsidR="00B87AEC" w:rsidRDefault="00B87AEC" w:rsidP="00CB2435">
      <w:r>
        <w:rPr>
          <w:noProof/>
          <w:lang w:val="en-GB" w:eastAsia="en-GB"/>
        </w:rPr>
        <w:drawing>
          <wp:inline distT="0" distB="0" distL="0" distR="0">
            <wp:extent cx="5979414" cy="2530789"/>
            <wp:effectExtent l="19050" t="0" r="22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53" cy="2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EC" w:rsidRDefault="00B87AEC" w:rsidP="00CB2435"/>
    <w:p w:rsidR="00B87AEC" w:rsidRDefault="00B87AEC" w:rsidP="00CB2435"/>
    <w:p w:rsidR="00A675B8" w:rsidRDefault="00A675B8" w:rsidP="00CB2435"/>
    <w:p w:rsidR="00B87AEC" w:rsidRDefault="00B87AEC" w:rsidP="00CB2435">
      <w:r>
        <w:rPr>
          <w:noProof/>
          <w:lang w:val="en-GB" w:eastAsia="en-GB"/>
        </w:rPr>
        <w:lastRenderedPageBreak/>
        <w:drawing>
          <wp:inline distT="0" distB="0" distL="0" distR="0">
            <wp:extent cx="5724347" cy="163860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4" w:rsidRPr="004D43A4" w:rsidRDefault="004D43A4" w:rsidP="004D43A4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23"/>
          <w:szCs w:val="23"/>
          <w:lang w:eastAsia="en-GB"/>
        </w:rPr>
      </w:pPr>
      <w:r w:rsidRPr="004D43A4">
        <w:rPr>
          <w:b/>
          <w:bCs/>
          <w:kern w:val="36"/>
          <w:sz w:val="23"/>
          <w:szCs w:val="23"/>
          <w:lang w:eastAsia="en-GB"/>
        </w:rPr>
        <w:t>Уровни автоматизации</w:t>
      </w:r>
    </w:p>
    <w:p w:rsidR="004D43A4" w:rsidRPr="004D43A4" w:rsidRDefault="004D43A4" w:rsidP="004D43A4">
      <w:p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Современные САПР являются сложными системами, принципиальными особенностями которых является необходимость их адаптации к условиям предприятий, на которых они внедряются. </w:t>
      </w:r>
      <w:r w:rsidRPr="004D43A4">
        <w:rPr>
          <w:b/>
          <w:bCs/>
          <w:u w:val="single"/>
          <w:lang w:eastAsia="en-GB"/>
        </w:rPr>
        <w:t>Адаптация</w:t>
      </w:r>
      <w:r w:rsidRPr="004D43A4">
        <w:rPr>
          <w:lang w:eastAsia="en-GB"/>
        </w:rPr>
        <w:t xml:space="preserve"> к условиям предприятий заключается в следующем:</w:t>
      </w:r>
    </w:p>
    <w:p w:rsidR="004D43A4" w:rsidRPr="004D43A4" w:rsidRDefault="004D43A4" w:rsidP="004D43A4">
      <w:pPr>
        <w:numPr>
          <w:ilvl w:val="0"/>
          <w:numId w:val="26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Формирование базы данных для технологического оснащения; </w:t>
      </w:r>
    </w:p>
    <w:p w:rsidR="004D43A4" w:rsidRPr="004D43A4" w:rsidRDefault="004D43A4" w:rsidP="004D43A4">
      <w:pPr>
        <w:numPr>
          <w:ilvl w:val="0"/>
          <w:numId w:val="26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Формирование базы данных для заготовок, припусков и режимов резания; </w:t>
      </w:r>
    </w:p>
    <w:p w:rsidR="004D43A4" w:rsidRPr="004D43A4" w:rsidRDefault="004D43A4" w:rsidP="004D43A4">
      <w:pPr>
        <w:numPr>
          <w:ilvl w:val="0"/>
          <w:numId w:val="26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Формирование базы данных для типовых и групповых технологических процессов; </w:t>
      </w:r>
    </w:p>
    <w:p w:rsidR="004D43A4" w:rsidRPr="004D43A4" w:rsidRDefault="004D43A4" w:rsidP="004D43A4">
      <w:pPr>
        <w:numPr>
          <w:ilvl w:val="0"/>
          <w:numId w:val="26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Формирование базы знаний для фиксации особенностей технологических процессов данного предприятия; </w:t>
      </w:r>
    </w:p>
    <w:p w:rsidR="004D43A4" w:rsidRPr="004D43A4" w:rsidRDefault="004D43A4" w:rsidP="004D43A4">
      <w:pPr>
        <w:numPr>
          <w:ilvl w:val="0"/>
          <w:numId w:val="26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Настройка САПР </w:t>
      </w:r>
      <w:proofErr w:type="gramStart"/>
      <w:r w:rsidRPr="004D43A4">
        <w:rPr>
          <w:lang w:eastAsia="en-GB"/>
        </w:rPr>
        <w:t>на те</w:t>
      </w:r>
      <w:proofErr w:type="gramEnd"/>
      <w:r w:rsidRPr="004D43A4">
        <w:rPr>
          <w:lang w:eastAsia="en-GB"/>
        </w:rPr>
        <w:t xml:space="preserve"> программные модули, которые будут использоваться на данном предприятии. </w:t>
      </w:r>
    </w:p>
    <w:p w:rsidR="004D43A4" w:rsidRPr="004D43A4" w:rsidRDefault="004D43A4" w:rsidP="004D43A4">
      <w:pPr>
        <w:numPr>
          <w:ilvl w:val="0"/>
          <w:numId w:val="26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Настройка САПР </w:t>
      </w:r>
      <w:proofErr w:type="gramStart"/>
      <w:r w:rsidRPr="004D43A4">
        <w:rPr>
          <w:lang w:eastAsia="en-GB"/>
        </w:rPr>
        <w:t>на те</w:t>
      </w:r>
      <w:proofErr w:type="gramEnd"/>
      <w:r w:rsidRPr="004D43A4">
        <w:rPr>
          <w:lang w:eastAsia="en-GB"/>
        </w:rPr>
        <w:t xml:space="preserve"> технологические документы, которые применяются на данном предприятии.</w:t>
      </w:r>
    </w:p>
    <w:p w:rsidR="004D43A4" w:rsidRPr="004D43A4" w:rsidRDefault="004D43A4" w:rsidP="004D43A4">
      <w:p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>Объем информации о технологическом оснащении, заготовках, припусках весьма велик. Формирование баз данных и знаний является весьма трудоемким процессом, который может затянуться на многие месяцы и отодвинуть внедрение САПР на предприятии. Поэтому при внедрении САПР целесообразно ориентироваться на концепцию последовательной автоматизации.</w:t>
      </w:r>
    </w:p>
    <w:p w:rsidR="004D43A4" w:rsidRPr="004D43A4" w:rsidRDefault="004D43A4" w:rsidP="004D43A4">
      <w:pPr>
        <w:spacing w:before="100" w:beforeAutospacing="1" w:after="100" w:afterAutospacing="1"/>
        <w:rPr>
          <w:lang w:eastAsia="en-GB"/>
        </w:rPr>
      </w:pPr>
      <w:r w:rsidRPr="004D43A4">
        <w:rPr>
          <w:b/>
          <w:bCs/>
          <w:u w:val="single"/>
          <w:lang w:eastAsia="en-GB"/>
        </w:rPr>
        <w:t>Концепция последовательной автоматизации</w:t>
      </w:r>
      <w:r w:rsidRPr="004D43A4">
        <w:rPr>
          <w:lang w:eastAsia="en-GB"/>
        </w:rPr>
        <w:t xml:space="preserve"> заключается в следующем:</w:t>
      </w:r>
    </w:p>
    <w:p w:rsidR="004D43A4" w:rsidRPr="004D43A4" w:rsidRDefault="004D43A4" w:rsidP="004D43A4">
      <w:pPr>
        <w:numPr>
          <w:ilvl w:val="0"/>
          <w:numId w:val="27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Внедрение на первых этапах САПР с низким уровнем автоматизации; </w:t>
      </w:r>
    </w:p>
    <w:p w:rsidR="004D43A4" w:rsidRPr="004D43A4" w:rsidRDefault="004D43A4" w:rsidP="004D43A4">
      <w:pPr>
        <w:numPr>
          <w:ilvl w:val="0"/>
          <w:numId w:val="27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Формирование баз данных параллельно с эксплуатацией САПР; </w:t>
      </w:r>
    </w:p>
    <w:p w:rsidR="004D43A4" w:rsidRPr="004D43A4" w:rsidRDefault="004D43A4" w:rsidP="004D43A4">
      <w:pPr>
        <w:numPr>
          <w:ilvl w:val="0"/>
          <w:numId w:val="27"/>
        </w:num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 xml:space="preserve">Настройка на технологические особенности предприятия так же вести параллельно с эксплуатацией САПР. </w:t>
      </w:r>
    </w:p>
    <w:p w:rsidR="004D43A4" w:rsidRPr="004D43A4" w:rsidRDefault="004D43A4" w:rsidP="004D43A4">
      <w:pPr>
        <w:spacing w:before="100" w:beforeAutospacing="1" w:after="100" w:afterAutospacing="1"/>
        <w:rPr>
          <w:lang w:eastAsia="en-GB"/>
        </w:rPr>
      </w:pPr>
      <w:r w:rsidRPr="004D43A4">
        <w:rPr>
          <w:lang w:eastAsia="en-GB"/>
        </w:rPr>
        <w:t>Будем различать три уровня автоматизации, как показано в нижеприведенной таблице:</w:t>
      </w:r>
    </w:p>
    <w:p w:rsidR="004D43A4" w:rsidRPr="004D43A4" w:rsidRDefault="004D43A4" w:rsidP="004D43A4">
      <w:pPr>
        <w:pStyle w:val="a4"/>
        <w:rPr>
          <w:lang w:val="ru-RU"/>
        </w:rPr>
      </w:pPr>
      <w:r w:rsidRPr="00E356D7">
        <w:rPr>
          <w:b/>
          <w:u w:val="single"/>
          <w:lang w:val="ru-RU"/>
        </w:rPr>
        <w:t>Первый уровень автоматизации</w:t>
      </w:r>
      <w:r w:rsidRPr="004D43A4">
        <w:rPr>
          <w:lang w:val="ru-RU"/>
        </w:rPr>
        <w:t xml:space="preserve"> - автоматизация низкого уровня, при которой автоматизировано только оформление технологической документации (маршрутные, операционные карты и другие документы</w:t>
      </w:r>
      <w:r w:rsidRPr="004D43A4">
        <w:rPr>
          <w:b/>
          <w:bCs/>
          <w:lang w:val="ru-RU"/>
        </w:rPr>
        <w:t>).</w:t>
      </w:r>
      <w:r w:rsidRPr="004D43A4">
        <w:rPr>
          <w:lang w:val="ru-RU"/>
        </w:rPr>
        <w:t xml:space="preserve"> Бланк документа выводится на экран монитора и технолог в режиме диалога заполняет этот документ. На первых этапах внедрения параллельно с эксплуатацией САПР с низким уровнем проектирования формируется база данных с технологическим оснащением.</w:t>
      </w:r>
    </w:p>
    <w:p w:rsidR="004D43A4" w:rsidRPr="004D43A4" w:rsidRDefault="004D43A4" w:rsidP="004D43A4">
      <w:pPr>
        <w:pStyle w:val="a4"/>
        <w:rPr>
          <w:lang w:val="ru-RU"/>
        </w:rPr>
      </w:pPr>
      <w:r w:rsidRPr="00E356D7">
        <w:rPr>
          <w:b/>
          <w:u w:val="single"/>
          <w:lang w:val="ru-RU"/>
        </w:rPr>
        <w:lastRenderedPageBreak/>
        <w:t>Второй уровень автоматизации</w:t>
      </w:r>
      <w:r w:rsidRPr="004D43A4">
        <w:rPr>
          <w:lang w:val="ru-RU"/>
        </w:rPr>
        <w:t xml:space="preserve"> - автоматизация среднего уровня, который достигается, когда базы данных частично сформированы и начинают работать поисковые и расчетные модули. Чем больше заполнена база данных, тем эффективнее начинает работать САПР. Работа поисковых модулей основана на использовании информационно-поисковой системы (ИПС), при этом условие поиска технолог вводит в режиме диалога. Условия поиска, которые являются стабильными, хранятся в базе знаний.</w:t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t>Расчетные модули, например модули расчета припусков, расчета режимов резания и норм времени, начинают работать, когда сформированы базы данных с нормативно-справочной информацией.</w:t>
      </w:r>
    </w:p>
    <w:p w:rsidR="004D43A4" w:rsidRPr="004D43A4" w:rsidRDefault="004D43A4" w:rsidP="004D43A4">
      <w:pPr>
        <w:pStyle w:val="a4"/>
        <w:rPr>
          <w:lang w:val="ru-RU"/>
        </w:rPr>
      </w:pPr>
      <w:r w:rsidRPr="00E356D7">
        <w:rPr>
          <w:b/>
          <w:u w:val="single"/>
          <w:lang w:val="ru-RU"/>
        </w:rPr>
        <w:t>Третий уровень автоматизации</w:t>
      </w:r>
      <w:r w:rsidRPr="004D43A4">
        <w:rPr>
          <w:lang w:val="ru-RU"/>
        </w:rPr>
        <w:t xml:space="preserve"> - автоматизация высокого уровня, который достигается, при заполнении базы знаний. В этом случае становится возможным автоматизированное принятие сложных логических решений, связанных, например, с выбором структуры процесса и операций, назначением технологических баз и другие подобные задачи. Процесс принятия таких решений полностью автоматизировать не удается, поэтому режим диалога остается и на третьем уровне автоматизации.</w:t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t>Процесс проектирования в САПР ТП представляет собой сложный процесс переработки конструкторской информации, заданной в чертеже детали, в технологическую информацию, которая затем фиксируется в технологической документации.</w:t>
      </w:r>
    </w:p>
    <w:p w:rsidR="004D43A4" w:rsidRDefault="004D43A4" w:rsidP="00E356D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798348" cy="1748333"/>
            <wp:effectExtent l="19050" t="0" r="2252" b="0"/>
            <wp:docPr id="6" name="Рисунок 6" descr="https://de.ifmo.ru/bk_netra/image.php?img=Ris1-11a.gif&amp;b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.ifmo.ru/bk_netra/image.php?img=Ris1-11a.gif&amp;bn=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7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t xml:space="preserve">Чертеж детали не обязательно хранится на твердой копии (бумаге). Если на предприятии функционирует конструкторский САПР, то чертеж детали может храниться в электронном архиве. </w:t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t>Соотношение вводимой технологической и конструкторской информации зависит от уровня автоматизации.</w:t>
      </w:r>
    </w:p>
    <w:p w:rsidR="004D43A4" w:rsidRDefault="004D43A4" w:rsidP="004D43A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218329" cy="1419149"/>
            <wp:effectExtent l="19050" t="0" r="1121" b="0"/>
            <wp:docPr id="9" name="Рисунок 9" descr="https://de.ifmo.ru/bk_netra/image.php?img=Ris1-11b.gif&amp;b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.ifmo.ru/bk_netra/image.php?img=Ris1-11b.gif&amp;bn=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4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lastRenderedPageBreak/>
        <w:t xml:space="preserve">При </w:t>
      </w:r>
      <w:r w:rsidRPr="004D43A4">
        <w:rPr>
          <w:u w:val="single"/>
          <w:lang w:val="ru-RU"/>
        </w:rPr>
        <w:t>низком уровне автоматизации</w:t>
      </w:r>
      <w:r w:rsidRPr="004D43A4">
        <w:rPr>
          <w:lang w:val="ru-RU"/>
        </w:rPr>
        <w:t>, когда технолог заполняет бланк технологической карты на экране монитора, он сам проектирует технологический процесс, т. е. сам выполняет переработку конструкторской информации в технологическую и заносит технологическую информацию в технологическую карту. Объем вводимой конструкторской информации незначителен.</w:t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u w:val="single"/>
          <w:lang w:val="ru-RU"/>
        </w:rPr>
        <w:t>На среднем уровне автоматизации</w:t>
      </w:r>
      <w:r w:rsidRPr="004D43A4">
        <w:rPr>
          <w:lang w:val="ru-RU"/>
        </w:rPr>
        <w:t xml:space="preserve"> проектирования объем</w:t>
      </w:r>
      <w:proofErr w:type="gramStart"/>
      <w:r w:rsidRPr="004D43A4">
        <w:rPr>
          <w:lang w:val="ru-RU"/>
        </w:rPr>
        <w:t xml:space="preserve"> .</w:t>
      </w:r>
      <w:proofErr w:type="gramEnd"/>
      <w:r w:rsidRPr="004D43A4">
        <w:rPr>
          <w:lang w:val="ru-RU"/>
        </w:rPr>
        <w:t>вводимой конструкторской информации резко увеличивается. Например, для поиска технологического оснащения необходимо иметь информацию о конструктивных элементах детали. Поэтому на этом уровне автоматизации проектирования ТП осуществляется кодирование чертежа детали и формирование параметрической модели детали (ПМД)</w:t>
      </w:r>
      <w:hyperlink r:id="rId10" w:history="1">
        <w:r w:rsidRPr="004D43A4">
          <w:rPr>
            <w:rStyle w:val="a8"/>
            <w:vertAlign w:val="superscript"/>
            <w:lang w:val="ru-RU"/>
          </w:rPr>
          <w:t>*</w:t>
        </w:r>
      </w:hyperlink>
      <w:r w:rsidRPr="004D43A4">
        <w:rPr>
          <w:lang w:val="ru-RU"/>
        </w:rPr>
        <w:t xml:space="preserve">. Расчетные задачи так же требуют информацию и детали и операционных заготовках. Объем вводимой технологической информации на этом уровне уменьшается, так как часть конструкторской информации перерабатывается </w:t>
      </w:r>
      <w:proofErr w:type="gramStart"/>
      <w:r w:rsidRPr="004D43A4">
        <w:rPr>
          <w:lang w:val="ru-RU"/>
        </w:rPr>
        <w:t>в</w:t>
      </w:r>
      <w:proofErr w:type="gramEnd"/>
      <w:r w:rsidRPr="004D43A4">
        <w:rPr>
          <w:lang w:val="ru-RU"/>
        </w:rPr>
        <w:t xml:space="preserve"> технологическую.</w:t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u w:val="single"/>
          <w:lang w:val="ru-RU"/>
        </w:rPr>
        <w:t>На высоком уровне автоматизации</w:t>
      </w:r>
      <w:r w:rsidRPr="004D43A4">
        <w:rPr>
          <w:lang w:val="ru-RU"/>
        </w:rPr>
        <w:t xml:space="preserve"> для проектирования ТП требуется еще более подробная информация о детали, т. е. нужно вводить параметрическую модель детали с наибольшей степенью детализации, в тоже время объем вводимой технологической информации на этом уровне еще больше уменьшается.</w:t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t xml:space="preserve">Кодирование чертежа детали и создание параметрической модели с высоким уровнем детализации описания детали является достаточно трудоемким процессом, снижающим эффективность САПР ТП. Коренное решение задачи получения параметрической модели детали заключается в интеграции конструкторской и технологической САПР. Интеграция заключается в создании конвертора, преобразующего графическую модель (ГМ) детали </w:t>
      </w:r>
      <w:proofErr w:type="gramStart"/>
      <w:r w:rsidRPr="004D43A4">
        <w:rPr>
          <w:lang w:val="ru-RU"/>
        </w:rPr>
        <w:t>в</w:t>
      </w:r>
      <w:proofErr w:type="gramEnd"/>
      <w:r w:rsidRPr="004D43A4">
        <w:rPr>
          <w:lang w:val="ru-RU"/>
        </w:rPr>
        <w:t xml:space="preserve"> параметрическую, как показано ниже:</w:t>
      </w:r>
    </w:p>
    <w:p w:rsidR="004D43A4" w:rsidRDefault="004D43A4" w:rsidP="004D43A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857115" cy="3094355"/>
            <wp:effectExtent l="19050" t="0" r="635" b="0"/>
            <wp:docPr id="10" name="Рисунок 10" descr="https://de.ifmo.ru/bk_netra/image.php?img=Ris1-11c.gif&amp;b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.ifmo.ru/bk_netra/image.php?img=Ris1-11c.gif&amp;bn=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4" w:rsidRPr="004D43A4" w:rsidRDefault="004D43A4" w:rsidP="004D43A4">
      <w:pPr>
        <w:pStyle w:val="a4"/>
        <w:rPr>
          <w:lang w:val="ru-RU"/>
        </w:rPr>
      </w:pPr>
      <w:r w:rsidRPr="004D43A4">
        <w:rPr>
          <w:lang w:val="ru-RU"/>
        </w:rPr>
        <w:t xml:space="preserve">Если автоматизированное конструирование изделия на предприятии не ведется, то графическая модель детали </w:t>
      </w:r>
      <w:proofErr w:type="gramStart"/>
      <w:r w:rsidRPr="004D43A4">
        <w:rPr>
          <w:lang w:val="ru-RU"/>
        </w:rPr>
        <w:t xml:space="preserve">( </w:t>
      </w:r>
      <w:proofErr w:type="gramEnd"/>
      <w:r w:rsidRPr="004D43A4">
        <w:rPr>
          <w:lang w:val="ru-RU"/>
        </w:rPr>
        <w:t xml:space="preserve">в формате </w:t>
      </w:r>
      <w:r>
        <w:t>CAD</w:t>
      </w:r>
      <w:r w:rsidRPr="004D43A4">
        <w:rPr>
          <w:lang w:val="ru-RU"/>
        </w:rPr>
        <w:t xml:space="preserve"> - системы или в виде нейтрального </w:t>
      </w:r>
      <w:r w:rsidRPr="004D43A4">
        <w:rPr>
          <w:lang w:val="ru-RU"/>
        </w:rPr>
        <w:lastRenderedPageBreak/>
        <w:t xml:space="preserve">формата передачи данных </w:t>
      </w:r>
      <w:r>
        <w:t>IGES</w:t>
      </w:r>
      <w:r w:rsidRPr="004D43A4">
        <w:rPr>
          <w:lang w:val="ru-RU"/>
        </w:rPr>
        <w:t xml:space="preserve"> или </w:t>
      </w:r>
      <w:r>
        <w:t>STEP</w:t>
      </w:r>
      <w:r w:rsidRPr="004D43A4">
        <w:rPr>
          <w:lang w:val="ru-RU"/>
        </w:rPr>
        <w:t xml:space="preserve"> ) выбирается из электронного архива данных.</w:t>
      </w:r>
    </w:p>
    <w:p w:rsidR="00A675B8" w:rsidRPr="00CB2435" w:rsidRDefault="00A675B8" w:rsidP="00DD6B29">
      <w:pPr>
        <w:jc w:val="both"/>
      </w:pPr>
    </w:p>
    <w:sectPr w:rsidR="00A675B8" w:rsidRPr="00CB2435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F416F"/>
    <w:multiLevelType w:val="multilevel"/>
    <w:tmpl w:val="07D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DC07B9"/>
    <w:multiLevelType w:val="multilevel"/>
    <w:tmpl w:val="C5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053B6D"/>
    <w:multiLevelType w:val="multilevel"/>
    <w:tmpl w:val="2EC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C7741A"/>
    <w:multiLevelType w:val="multilevel"/>
    <w:tmpl w:val="B97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9"/>
  </w:num>
  <w:num w:numId="5">
    <w:abstractNumId w:val="8"/>
  </w:num>
  <w:num w:numId="6">
    <w:abstractNumId w:val="10"/>
  </w:num>
  <w:num w:numId="7">
    <w:abstractNumId w:val="18"/>
  </w:num>
  <w:num w:numId="8">
    <w:abstractNumId w:val="22"/>
  </w:num>
  <w:num w:numId="9">
    <w:abstractNumId w:val="24"/>
  </w:num>
  <w:num w:numId="10">
    <w:abstractNumId w:val="12"/>
  </w:num>
  <w:num w:numId="11">
    <w:abstractNumId w:val="0"/>
  </w:num>
  <w:num w:numId="12">
    <w:abstractNumId w:val="7"/>
  </w:num>
  <w:num w:numId="13">
    <w:abstractNumId w:val="26"/>
  </w:num>
  <w:num w:numId="14">
    <w:abstractNumId w:val="3"/>
  </w:num>
  <w:num w:numId="15">
    <w:abstractNumId w:val="13"/>
  </w:num>
  <w:num w:numId="16">
    <w:abstractNumId w:val="16"/>
  </w:num>
  <w:num w:numId="17">
    <w:abstractNumId w:val="15"/>
  </w:num>
  <w:num w:numId="18">
    <w:abstractNumId w:val="5"/>
  </w:num>
  <w:num w:numId="19">
    <w:abstractNumId w:val="2"/>
  </w:num>
  <w:num w:numId="20">
    <w:abstractNumId w:val="20"/>
  </w:num>
  <w:num w:numId="21">
    <w:abstractNumId w:val="19"/>
  </w:num>
  <w:num w:numId="22">
    <w:abstractNumId w:val="4"/>
  </w:num>
  <w:num w:numId="23">
    <w:abstractNumId w:val="1"/>
  </w:num>
  <w:num w:numId="24">
    <w:abstractNumId w:val="23"/>
  </w:num>
  <w:num w:numId="25">
    <w:abstractNumId w:val="21"/>
  </w:num>
  <w:num w:numId="26">
    <w:abstractNumId w:val="25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64F50"/>
    <w:rsid w:val="00071643"/>
    <w:rsid w:val="000A65D8"/>
    <w:rsid w:val="000C5A4F"/>
    <w:rsid w:val="000E1315"/>
    <w:rsid w:val="00101B58"/>
    <w:rsid w:val="00114A32"/>
    <w:rsid w:val="00120E8D"/>
    <w:rsid w:val="0017109F"/>
    <w:rsid w:val="00180028"/>
    <w:rsid w:val="001833EF"/>
    <w:rsid w:val="00183C7E"/>
    <w:rsid w:val="001B3031"/>
    <w:rsid w:val="001B4517"/>
    <w:rsid w:val="002178EB"/>
    <w:rsid w:val="00225D53"/>
    <w:rsid w:val="00234D16"/>
    <w:rsid w:val="00243553"/>
    <w:rsid w:val="002439CF"/>
    <w:rsid w:val="00295484"/>
    <w:rsid w:val="002B3640"/>
    <w:rsid w:val="002B466F"/>
    <w:rsid w:val="002E56C7"/>
    <w:rsid w:val="002F61FE"/>
    <w:rsid w:val="00302B1E"/>
    <w:rsid w:val="003064EB"/>
    <w:rsid w:val="0033388A"/>
    <w:rsid w:val="003569CD"/>
    <w:rsid w:val="00375330"/>
    <w:rsid w:val="003B4693"/>
    <w:rsid w:val="003F18F0"/>
    <w:rsid w:val="003F6043"/>
    <w:rsid w:val="004060D3"/>
    <w:rsid w:val="004362A9"/>
    <w:rsid w:val="0045303D"/>
    <w:rsid w:val="00472152"/>
    <w:rsid w:val="00476381"/>
    <w:rsid w:val="004852D6"/>
    <w:rsid w:val="00491CC3"/>
    <w:rsid w:val="004C670B"/>
    <w:rsid w:val="004D43A4"/>
    <w:rsid w:val="004F56D2"/>
    <w:rsid w:val="00534CED"/>
    <w:rsid w:val="00566914"/>
    <w:rsid w:val="0057160B"/>
    <w:rsid w:val="0059570F"/>
    <w:rsid w:val="005D07BA"/>
    <w:rsid w:val="00611D18"/>
    <w:rsid w:val="00631921"/>
    <w:rsid w:val="00641937"/>
    <w:rsid w:val="0064669A"/>
    <w:rsid w:val="006742C4"/>
    <w:rsid w:val="00676BEE"/>
    <w:rsid w:val="006915CC"/>
    <w:rsid w:val="006B4181"/>
    <w:rsid w:val="006B7EB7"/>
    <w:rsid w:val="006F1D8D"/>
    <w:rsid w:val="00733D76"/>
    <w:rsid w:val="00785A21"/>
    <w:rsid w:val="007B3FF6"/>
    <w:rsid w:val="007C68CF"/>
    <w:rsid w:val="007C7CC9"/>
    <w:rsid w:val="00824198"/>
    <w:rsid w:val="00831B0E"/>
    <w:rsid w:val="00850271"/>
    <w:rsid w:val="00890FEF"/>
    <w:rsid w:val="008B0456"/>
    <w:rsid w:val="008C2109"/>
    <w:rsid w:val="008F281B"/>
    <w:rsid w:val="008F3D3E"/>
    <w:rsid w:val="00903B2D"/>
    <w:rsid w:val="00951A24"/>
    <w:rsid w:val="00965866"/>
    <w:rsid w:val="00975FFC"/>
    <w:rsid w:val="00983A9D"/>
    <w:rsid w:val="009949E5"/>
    <w:rsid w:val="009B3115"/>
    <w:rsid w:val="009B4211"/>
    <w:rsid w:val="009B4AA8"/>
    <w:rsid w:val="009C1155"/>
    <w:rsid w:val="009F26FF"/>
    <w:rsid w:val="00A07444"/>
    <w:rsid w:val="00A21710"/>
    <w:rsid w:val="00A21F44"/>
    <w:rsid w:val="00A675B8"/>
    <w:rsid w:val="00AA675F"/>
    <w:rsid w:val="00AD36F6"/>
    <w:rsid w:val="00AF14CB"/>
    <w:rsid w:val="00B05882"/>
    <w:rsid w:val="00B15D3D"/>
    <w:rsid w:val="00B525F8"/>
    <w:rsid w:val="00B87AEC"/>
    <w:rsid w:val="00BA39BD"/>
    <w:rsid w:val="00BE4989"/>
    <w:rsid w:val="00C02F53"/>
    <w:rsid w:val="00C03CEF"/>
    <w:rsid w:val="00C110B2"/>
    <w:rsid w:val="00CA376D"/>
    <w:rsid w:val="00CB2435"/>
    <w:rsid w:val="00CC4E92"/>
    <w:rsid w:val="00CF5103"/>
    <w:rsid w:val="00D067BC"/>
    <w:rsid w:val="00D07C32"/>
    <w:rsid w:val="00D576BF"/>
    <w:rsid w:val="00D85ED6"/>
    <w:rsid w:val="00D935F1"/>
    <w:rsid w:val="00DA0818"/>
    <w:rsid w:val="00DA479A"/>
    <w:rsid w:val="00DD6B29"/>
    <w:rsid w:val="00DE656B"/>
    <w:rsid w:val="00E03BD5"/>
    <w:rsid w:val="00E05BE0"/>
    <w:rsid w:val="00E254B7"/>
    <w:rsid w:val="00E356D7"/>
    <w:rsid w:val="00E41029"/>
    <w:rsid w:val="00E62CF7"/>
    <w:rsid w:val="00E7468D"/>
    <w:rsid w:val="00ED2B51"/>
    <w:rsid w:val="00EF076E"/>
    <w:rsid w:val="00F16FB0"/>
    <w:rsid w:val="00F34FF0"/>
    <w:rsid w:val="00F56B49"/>
    <w:rsid w:val="00F808E8"/>
    <w:rsid w:val="00FA1938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hyperlink" Target="javascript:CreateWin('gloss.php?tutindex=4&amp;glosnumber=1&amp;number=20'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A8388-C9E7-43EA-B580-0846E037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79</cp:revision>
  <dcterms:created xsi:type="dcterms:W3CDTF">2021-01-20T01:54:00Z</dcterms:created>
  <dcterms:modified xsi:type="dcterms:W3CDTF">2021-02-11T00:22:00Z</dcterms:modified>
</cp:coreProperties>
</file>