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5" w:rsidRDefault="007E4235" w:rsidP="00FF475D">
      <w:pPr>
        <w:pStyle w:val="a5"/>
      </w:pPr>
    </w:p>
    <w:p w:rsidR="00E805CB" w:rsidRPr="00E805CB" w:rsidRDefault="00E805CB" w:rsidP="00FF475D">
      <w:pPr>
        <w:pStyle w:val="a5"/>
        <w:rPr>
          <w:lang w:val="ru-RU"/>
        </w:rPr>
      </w:pPr>
      <w:r w:rsidRPr="00E805CB">
        <w:rPr>
          <w:lang w:val="ru-RU"/>
        </w:rPr>
        <w:t>управление сеансом связи,  транспортный уровень,</w:t>
      </w:r>
    </w:p>
    <w:p w:rsidR="00E805CB" w:rsidRPr="00A3740E" w:rsidRDefault="00965078" w:rsidP="00A3740E">
      <w:pPr>
        <w:pStyle w:val="a5"/>
        <w:tabs>
          <w:tab w:val="center" w:pos="4677"/>
        </w:tabs>
        <w:rPr>
          <w:lang w:val="ru-RU"/>
        </w:rPr>
      </w:pPr>
      <w:hyperlink r:id="rId8" w:history="1">
        <w:r w:rsidR="009C6D93" w:rsidRPr="00324EE1">
          <w:rPr>
            <w:rStyle w:val="a6"/>
            <w:lang w:val="ru-RU"/>
          </w:rPr>
          <w:t>https://youtu.be/wP8iUpM5DHU</w:t>
        </w:r>
      </w:hyperlink>
      <w:r w:rsidR="00A3740E">
        <w:rPr>
          <w:lang w:val="ru-RU"/>
        </w:rPr>
        <w:tab/>
      </w:r>
      <w:r w:rsidR="00A3740E" w:rsidRPr="00A3740E">
        <w:rPr>
          <w:lang w:val="ru-RU"/>
        </w:rPr>
        <w:t xml:space="preserve">   </w:t>
      </w:r>
    </w:p>
    <w:p w:rsidR="009C6D93" w:rsidRPr="009C6D93" w:rsidRDefault="00965078" w:rsidP="00FF475D">
      <w:pPr>
        <w:pStyle w:val="a5"/>
        <w:rPr>
          <w:lang w:val="ru-RU"/>
        </w:rPr>
      </w:pPr>
      <w:hyperlink r:id="rId9" w:history="1">
        <w:r w:rsidR="009C6D93" w:rsidRPr="00324EE1">
          <w:rPr>
            <w:rStyle w:val="a6"/>
          </w:rPr>
          <w:t>https</w:t>
        </w:r>
        <w:r w:rsidR="009C6D93" w:rsidRPr="00324EE1">
          <w:rPr>
            <w:rStyle w:val="a6"/>
            <w:lang w:val="ru-RU"/>
          </w:rPr>
          <w:t>://</w:t>
        </w:r>
        <w:proofErr w:type="spellStart"/>
        <w:r w:rsidR="009C6D93" w:rsidRPr="00324EE1">
          <w:rPr>
            <w:rStyle w:val="a6"/>
          </w:rPr>
          <w:t>youtu</w:t>
        </w:r>
        <w:proofErr w:type="spellEnd"/>
        <w:r w:rsidR="009C6D93" w:rsidRPr="00324EE1">
          <w:rPr>
            <w:rStyle w:val="a6"/>
            <w:lang w:val="ru-RU"/>
          </w:rPr>
          <w:t>.</w:t>
        </w:r>
        <w:r w:rsidR="009C6D93" w:rsidRPr="00324EE1">
          <w:rPr>
            <w:rStyle w:val="a6"/>
          </w:rPr>
          <w:t>be</w:t>
        </w:r>
        <w:r w:rsidR="009C6D93" w:rsidRPr="00324EE1">
          <w:rPr>
            <w:rStyle w:val="a6"/>
            <w:lang w:val="ru-RU"/>
          </w:rPr>
          <w:t>/</w:t>
        </w:r>
        <w:proofErr w:type="spellStart"/>
        <w:r w:rsidR="009C6D93" w:rsidRPr="00324EE1">
          <w:rPr>
            <w:rStyle w:val="a6"/>
          </w:rPr>
          <w:t>WjIDS</w:t>
        </w:r>
        <w:proofErr w:type="spellEnd"/>
        <w:r w:rsidR="009C6D93" w:rsidRPr="00324EE1">
          <w:rPr>
            <w:rStyle w:val="a6"/>
            <w:lang w:val="ru-RU"/>
          </w:rPr>
          <w:t>0</w:t>
        </w:r>
        <w:proofErr w:type="spellStart"/>
        <w:r w:rsidR="009C6D93" w:rsidRPr="00324EE1">
          <w:rPr>
            <w:rStyle w:val="a6"/>
          </w:rPr>
          <w:t>XlAyk</w:t>
        </w:r>
        <w:proofErr w:type="spellEnd"/>
      </w:hyperlink>
    </w:p>
    <w:p w:rsidR="009C6D93" w:rsidRPr="00151DB4" w:rsidRDefault="00965078" w:rsidP="00FF475D">
      <w:pPr>
        <w:pStyle w:val="a5"/>
        <w:rPr>
          <w:lang w:val="ru-RU"/>
        </w:rPr>
      </w:pPr>
      <w:r>
        <w:fldChar w:fldCharType="begin"/>
      </w:r>
      <w:r>
        <w:instrText>HYPERLINK</w:instrText>
      </w:r>
      <w:r w:rsidRPr="006F0368">
        <w:rPr>
          <w:lang w:val="ru-RU"/>
        </w:rPr>
        <w:instrText xml:space="preserve"> "</w:instrText>
      </w:r>
      <w:r>
        <w:instrText>https</w:instrText>
      </w:r>
      <w:r w:rsidRPr="006F0368">
        <w:rPr>
          <w:lang w:val="ru-RU"/>
        </w:rPr>
        <w:instrText>://</w:instrText>
      </w:r>
      <w:r>
        <w:instrText>youtu</w:instrText>
      </w:r>
      <w:r w:rsidRPr="006F0368">
        <w:rPr>
          <w:lang w:val="ru-RU"/>
        </w:rPr>
        <w:instrText>.</w:instrText>
      </w:r>
      <w:r>
        <w:instrText>be</w:instrText>
      </w:r>
      <w:r w:rsidRPr="006F0368">
        <w:rPr>
          <w:lang w:val="ru-RU"/>
        </w:rPr>
        <w:instrText>/8</w:instrText>
      </w:r>
      <w:r>
        <w:instrText>NSFB</w:instrText>
      </w:r>
      <w:r w:rsidRPr="006F0368">
        <w:rPr>
          <w:lang w:val="ru-RU"/>
        </w:rPr>
        <w:instrText>013</w:instrText>
      </w:r>
      <w:r>
        <w:instrText>F</w:instrText>
      </w:r>
      <w:r w:rsidRPr="006F0368">
        <w:rPr>
          <w:lang w:val="ru-RU"/>
        </w:rPr>
        <w:instrText>0</w:instrText>
      </w:r>
      <w:r>
        <w:instrText>Y</w:instrText>
      </w:r>
      <w:r w:rsidRPr="006F0368">
        <w:rPr>
          <w:lang w:val="ru-RU"/>
        </w:rPr>
        <w:instrText>"</w:instrText>
      </w:r>
      <w:r>
        <w:fldChar w:fldCharType="separate"/>
      </w:r>
      <w:r w:rsidR="00151DB4" w:rsidRPr="00324EE1">
        <w:rPr>
          <w:rStyle w:val="a6"/>
          <w:lang w:val="ru-RU"/>
        </w:rPr>
        <w:t>https://youtu.be/8NSFB013F0Y</w:t>
      </w:r>
      <w:r>
        <w:fldChar w:fldCharType="end"/>
      </w:r>
    </w:p>
    <w:p w:rsidR="00151DB4" w:rsidRPr="006F0368" w:rsidRDefault="00965078" w:rsidP="00FF475D">
      <w:pPr>
        <w:pStyle w:val="a5"/>
        <w:rPr>
          <w:lang w:val="ru-RU"/>
        </w:rPr>
      </w:pPr>
      <w:r>
        <w:fldChar w:fldCharType="begin"/>
      </w:r>
      <w:r>
        <w:instrText>HYPERLINK</w:instrText>
      </w:r>
      <w:r w:rsidRPr="006F0368">
        <w:rPr>
          <w:lang w:val="ru-RU"/>
        </w:rPr>
        <w:instrText xml:space="preserve"> "</w:instrText>
      </w:r>
      <w:r>
        <w:instrText>https</w:instrText>
      </w:r>
      <w:r w:rsidRPr="006F0368">
        <w:rPr>
          <w:lang w:val="ru-RU"/>
        </w:rPr>
        <w:instrText>://</w:instrText>
      </w:r>
      <w:r>
        <w:instrText>youtu</w:instrText>
      </w:r>
      <w:r w:rsidRPr="006F0368">
        <w:rPr>
          <w:lang w:val="ru-RU"/>
        </w:rPr>
        <w:instrText>.</w:instrText>
      </w:r>
      <w:r>
        <w:instrText>be</w:instrText>
      </w:r>
      <w:r w:rsidRPr="006F0368">
        <w:rPr>
          <w:lang w:val="ru-RU"/>
        </w:rPr>
        <w:instrText>/9</w:instrText>
      </w:r>
      <w:r>
        <w:instrText>mQfZ</w:instrText>
      </w:r>
      <w:r w:rsidRPr="006F0368">
        <w:rPr>
          <w:lang w:val="ru-RU"/>
        </w:rPr>
        <w:instrText>-4</w:instrText>
      </w:r>
      <w:r>
        <w:instrText>bBc</w:instrText>
      </w:r>
      <w:r w:rsidRPr="006F0368">
        <w:rPr>
          <w:lang w:val="ru-RU"/>
        </w:rPr>
        <w:instrText>0"</w:instrText>
      </w:r>
      <w:r>
        <w:fldChar w:fldCharType="separate"/>
      </w:r>
      <w:r w:rsidR="00151DB4" w:rsidRPr="00324EE1">
        <w:rPr>
          <w:rStyle w:val="a6"/>
        </w:rPr>
        <w:t>https</w:t>
      </w:r>
      <w:r w:rsidR="00151DB4" w:rsidRPr="00324EE1">
        <w:rPr>
          <w:rStyle w:val="a6"/>
          <w:lang w:val="ru-RU"/>
        </w:rPr>
        <w:t>://</w:t>
      </w:r>
      <w:r w:rsidR="00151DB4" w:rsidRPr="00324EE1">
        <w:rPr>
          <w:rStyle w:val="a6"/>
        </w:rPr>
        <w:t>youtu</w:t>
      </w:r>
      <w:r w:rsidR="00151DB4" w:rsidRPr="00324EE1">
        <w:rPr>
          <w:rStyle w:val="a6"/>
          <w:lang w:val="ru-RU"/>
        </w:rPr>
        <w:t>.</w:t>
      </w:r>
      <w:r w:rsidR="00151DB4" w:rsidRPr="00324EE1">
        <w:rPr>
          <w:rStyle w:val="a6"/>
        </w:rPr>
        <w:t>be</w:t>
      </w:r>
      <w:r w:rsidR="00151DB4" w:rsidRPr="00324EE1">
        <w:rPr>
          <w:rStyle w:val="a6"/>
          <w:lang w:val="ru-RU"/>
        </w:rPr>
        <w:t>/9</w:t>
      </w:r>
      <w:r w:rsidR="00151DB4" w:rsidRPr="00324EE1">
        <w:rPr>
          <w:rStyle w:val="a6"/>
        </w:rPr>
        <w:t>mQfZ</w:t>
      </w:r>
      <w:r w:rsidR="00151DB4" w:rsidRPr="00324EE1">
        <w:rPr>
          <w:rStyle w:val="a6"/>
          <w:lang w:val="ru-RU"/>
        </w:rPr>
        <w:t>-4</w:t>
      </w:r>
      <w:r w:rsidR="00151DB4" w:rsidRPr="00324EE1">
        <w:rPr>
          <w:rStyle w:val="a6"/>
        </w:rPr>
        <w:t>bBc</w:t>
      </w:r>
      <w:r w:rsidR="00151DB4" w:rsidRPr="00324EE1">
        <w:rPr>
          <w:rStyle w:val="a6"/>
          <w:lang w:val="ru-RU"/>
        </w:rPr>
        <w:t>0</w:t>
      </w:r>
      <w:r>
        <w:fldChar w:fldCharType="end"/>
      </w:r>
    </w:p>
    <w:p w:rsidR="00151DB4" w:rsidRDefault="00E805CB" w:rsidP="00FF475D">
      <w:pPr>
        <w:pStyle w:val="a5"/>
      </w:pPr>
      <w:r>
        <w:rPr>
          <w:noProof/>
        </w:rPr>
        <w:drawing>
          <wp:inline distT="0" distB="0" distL="0" distR="0">
            <wp:extent cx="5924550" cy="3609975"/>
            <wp:effectExtent l="19050" t="0" r="0" b="0"/>
            <wp:docPr id="1" name="Рисунок 1" descr="https://studfile.net/html/2706/346/html_1DcdomRMiL.NEsN/htmlconvd-PgkCRo_html_5887ff40682d5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46/html_1DcdomRMiL.NEsN/htmlconvd-PgkCRo_html_5887ff40682d5dc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0E" w:rsidRDefault="006F0368" w:rsidP="00FF475D">
      <w:pPr>
        <w:pStyle w:val="a5"/>
        <w:rPr>
          <w:b/>
        </w:rPr>
      </w:pPr>
      <w:hyperlink r:id="rId11" w:history="1">
        <w:r w:rsidRPr="00324EE1">
          <w:rPr>
            <w:rStyle w:val="a6"/>
            <w:b/>
          </w:rPr>
          <w:t>https://easy-network.ru/5-urok-4.html</w:t>
        </w:r>
      </w:hyperlink>
    </w:p>
    <w:p w:rsidR="006F0368" w:rsidRPr="00A3740E" w:rsidRDefault="006F0368" w:rsidP="00FF475D">
      <w:pPr>
        <w:pStyle w:val="a5"/>
        <w:rPr>
          <w:b/>
        </w:rPr>
      </w:pPr>
    </w:p>
    <w:p w:rsidR="009C6D93" w:rsidRDefault="009C6D93" w:rsidP="009C6D93">
      <w:pPr>
        <w:numPr>
          <w:ilvl w:val="0"/>
          <w:numId w:val="4"/>
        </w:numPr>
        <w:spacing w:before="100" w:beforeAutospacing="1" w:after="100" w:afterAutospacing="1"/>
      </w:pPr>
      <w:r w:rsidRPr="00A3740E">
        <w:rPr>
          <w:b/>
        </w:rPr>
        <w:t xml:space="preserve">ГОСТ </w:t>
      </w:r>
      <w:proofErr w:type="gramStart"/>
      <w:r w:rsidRPr="00A3740E">
        <w:rPr>
          <w:b/>
        </w:rPr>
        <w:t>Р</w:t>
      </w:r>
      <w:proofErr w:type="gramEnd"/>
      <w:r w:rsidRPr="00A3740E">
        <w:rPr>
          <w:b/>
        </w:rPr>
        <w:t xml:space="preserve"> ИСО/МЭК 10177-99</w:t>
      </w:r>
      <w:r>
        <w:t xml:space="preserve"> - Информационная технология. Передача данных и обмен информацией между системами. Обеспечение промежуточными системами внутренних услуг сетевого уровня в режиме с установлением соединения при использовании протокола пакетного уровня Х.25 по ГОСТ </w:t>
      </w:r>
      <w:proofErr w:type="gramStart"/>
      <w:r>
        <w:t>Р</w:t>
      </w:r>
      <w:proofErr w:type="gramEnd"/>
      <w:r>
        <w:t xml:space="preserve"> 34.950</w:t>
      </w:r>
    </w:p>
    <w:p w:rsidR="009C6D93" w:rsidRDefault="009C6D93" w:rsidP="009C6D93">
      <w:pPr>
        <w:numPr>
          <w:ilvl w:val="0"/>
          <w:numId w:val="4"/>
        </w:numPr>
        <w:spacing w:before="100" w:beforeAutospacing="1" w:after="100" w:afterAutospacing="1"/>
      </w:pPr>
      <w:r w:rsidRPr="00A3740E">
        <w:rPr>
          <w:b/>
        </w:rPr>
        <w:t xml:space="preserve">ГОСТ </w:t>
      </w:r>
      <w:proofErr w:type="gramStart"/>
      <w:r w:rsidRPr="00A3740E">
        <w:rPr>
          <w:b/>
        </w:rPr>
        <w:t>Р</w:t>
      </w:r>
      <w:proofErr w:type="gramEnd"/>
      <w:r w:rsidRPr="00A3740E">
        <w:rPr>
          <w:b/>
        </w:rPr>
        <w:t xml:space="preserve"> 34.950-92</w:t>
      </w:r>
      <w:r>
        <w:t xml:space="preserve"> - Информационная технология. Взаимосвязь открытых систем. Передача данных. Протокол пакетного уровня Х.25 для оконечного оборудования данных</w:t>
      </w:r>
    </w:p>
    <w:p w:rsidR="009C6D93" w:rsidRDefault="009C6D93" w:rsidP="009C6D93">
      <w:pPr>
        <w:numPr>
          <w:ilvl w:val="0"/>
          <w:numId w:val="4"/>
        </w:numPr>
        <w:spacing w:before="100" w:beforeAutospacing="1" w:after="100" w:afterAutospacing="1"/>
      </w:pPr>
      <w:r w:rsidRPr="00A3740E">
        <w:rPr>
          <w:b/>
        </w:rPr>
        <w:t xml:space="preserve">ГОСТ </w:t>
      </w:r>
      <w:proofErr w:type="gramStart"/>
      <w:r w:rsidRPr="00A3740E">
        <w:rPr>
          <w:b/>
        </w:rPr>
        <w:t>Р</w:t>
      </w:r>
      <w:proofErr w:type="gramEnd"/>
      <w:r w:rsidRPr="00A3740E">
        <w:rPr>
          <w:b/>
        </w:rPr>
        <w:t xml:space="preserve"> ИСО/МЭК 8881-98</w:t>
      </w:r>
      <w:r>
        <w:t xml:space="preserve"> - Информационная технология. Передача данных. Использование протокола пакетного уровня Х.25 в локальных вычислительных сетях</w:t>
      </w:r>
    </w:p>
    <w:p w:rsidR="009C6D93" w:rsidRDefault="009C6D93" w:rsidP="009C6D93">
      <w:pPr>
        <w:numPr>
          <w:ilvl w:val="0"/>
          <w:numId w:val="4"/>
        </w:numPr>
        <w:spacing w:before="100" w:beforeAutospacing="1" w:after="100" w:afterAutospacing="1"/>
      </w:pPr>
      <w:r>
        <w:t>ГОСТ 34.954-91 - Информационная технология. Взаимосвязь открытых систем. Использование протокола пакетного уровня Х.25 для обеспечения услуг сетевого уровня взаимосвязи открытых систем в режиме с установлением соединения</w:t>
      </w:r>
    </w:p>
    <w:p w:rsidR="0025448E" w:rsidRPr="009C6D93" w:rsidRDefault="0025448E" w:rsidP="00FF475D">
      <w:pPr>
        <w:pStyle w:val="a5"/>
        <w:rPr>
          <w:lang w:val="ru-RU"/>
        </w:rPr>
      </w:pPr>
    </w:p>
    <w:p w:rsidR="0025448E" w:rsidRDefault="0025448E" w:rsidP="0025448E">
      <w:pPr>
        <w:pStyle w:val="4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0425" cy="4121287"/>
            <wp:effectExtent l="19050" t="0" r="3175" b="0"/>
            <wp:docPr id="4" name="Рисунок 4" descr="http://900igr.net/up/datai/218887/0037-020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00igr.net/up/datai/218887/0037-020-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48E">
        <w:rPr>
          <w:b w:val="0"/>
          <w:bCs w:val="0"/>
        </w:rPr>
        <w:t xml:space="preserve"> </w:t>
      </w:r>
      <w:r>
        <w:rPr>
          <w:rStyle w:val="ab"/>
          <w:b/>
          <w:bCs/>
        </w:rPr>
        <w:t>Особенности транспортного уровня</w:t>
      </w:r>
    </w:p>
    <w:p w:rsidR="0025448E" w:rsidRPr="0025448E" w:rsidRDefault="0025448E" w:rsidP="0025448E">
      <w:pPr>
        <w:pStyle w:val="a5"/>
        <w:rPr>
          <w:lang w:val="ru-RU"/>
        </w:rPr>
      </w:pPr>
      <w:r w:rsidRPr="0025448E">
        <w:rPr>
          <w:lang w:val="ru-RU"/>
        </w:rPr>
        <w:t>Обеспечение более высокой надежности, в отличи</w:t>
      </w:r>
      <w:proofErr w:type="gramStart"/>
      <w:r w:rsidRPr="0025448E">
        <w:rPr>
          <w:lang w:val="ru-RU"/>
        </w:rPr>
        <w:t>и</w:t>
      </w:r>
      <w:proofErr w:type="gramEnd"/>
      <w:r w:rsidRPr="0025448E">
        <w:rPr>
          <w:lang w:val="ru-RU"/>
        </w:rPr>
        <w:t xml:space="preserve"> от сети, которая используется для передачи данных. Применяются надежные каналы связи, ошибки в этих КС происходят редко, следовательно, можно строить надежную сеть, которая будет стоить дешево, а ошибки можно исправлять программно на хостах.</w:t>
      </w:r>
    </w:p>
    <w:p w:rsidR="0025448E" w:rsidRPr="0025448E" w:rsidRDefault="0025448E" w:rsidP="0025448E">
      <w:pPr>
        <w:pStyle w:val="a5"/>
        <w:rPr>
          <w:lang w:val="ru-RU"/>
        </w:rPr>
      </w:pPr>
      <w:r w:rsidRPr="0025448E">
        <w:rPr>
          <w:lang w:val="ru-RU"/>
        </w:rPr>
        <w:t>Транспортный уровень гарантирует доставку данных, он использует подтверждение от получателя, если подтверждение не пришло транспортный снова отправляет подтверждение данных. Гарантия следования сообщений.</w:t>
      </w:r>
    </w:p>
    <w:p w:rsidR="0025448E" w:rsidRDefault="0025448E" w:rsidP="0025448E">
      <w:pPr>
        <w:pStyle w:val="3"/>
      </w:pPr>
      <w:r>
        <w:rPr>
          <w:rStyle w:val="ab"/>
          <w:b/>
          <w:bCs/>
        </w:rPr>
        <w:t>Сеансовый уровень</w:t>
      </w:r>
      <w:r>
        <w:t xml:space="preserve"> </w:t>
      </w:r>
      <w:r>
        <w:rPr>
          <w:rStyle w:val="ab"/>
          <w:b/>
          <w:bCs/>
        </w:rPr>
        <w:t>(SESSION)</w:t>
      </w:r>
    </w:p>
    <w:p w:rsidR="0025448E" w:rsidRPr="0025448E" w:rsidRDefault="0025448E" w:rsidP="0025448E">
      <w:pPr>
        <w:pStyle w:val="a5"/>
        <w:rPr>
          <w:lang w:val="ru-RU"/>
        </w:rPr>
      </w:pPr>
      <w:r w:rsidRPr="0025448E">
        <w:rPr>
          <w:lang w:val="ru-RU"/>
        </w:rPr>
        <w:t>Сеансовый (сессия) – это набор сетевых взаимодействий, целенаправленных на решение единственной задачи.</w:t>
      </w:r>
    </w:p>
    <w:p w:rsidR="0025448E" w:rsidRPr="0025448E" w:rsidRDefault="0025448E" w:rsidP="0025448E">
      <w:pPr>
        <w:pStyle w:val="a5"/>
        <w:rPr>
          <w:lang w:val="ru-RU"/>
        </w:rPr>
      </w:pPr>
      <w:r w:rsidRPr="0025448E">
        <w:rPr>
          <w:lang w:val="ru-RU"/>
        </w:rPr>
        <w:t xml:space="preserve">Сейчас сетевое взаимодействие усложнилось и не состоит из простых вопросов и ответов, как было раньше. Например, Вы загружаете </w:t>
      </w:r>
      <w:proofErr w:type="spellStart"/>
      <w:r w:rsidRPr="0025448E">
        <w:rPr>
          <w:lang w:val="ru-RU"/>
        </w:rPr>
        <w:t>веб</w:t>
      </w:r>
      <w:proofErr w:type="spellEnd"/>
      <w:r w:rsidRPr="0025448E">
        <w:rPr>
          <w:lang w:val="ru-RU"/>
        </w:rPr>
        <w:t xml:space="preserve"> страничку, чтобы показать в браузере, сначала нужно загрузить сам текст </w:t>
      </w:r>
      <w:proofErr w:type="spellStart"/>
      <w:r w:rsidRPr="0025448E">
        <w:rPr>
          <w:lang w:val="ru-RU"/>
        </w:rPr>
        <w:t>веб</w:t>
      </w:r>
      <w:proofErr w:type="spellEnd"/>
      <w:r w:rsidRPr="0025448E">
        <w:rPr>
          <w:lang w:val="ru-RU"/>
        </w:rPr>
        <w:t xml:space="preserve"> страницы (.</w:t>
      </w:r>
      <w:r>
        <w:t>html</w:t>
      </w:r>
      <w:r w:rsidRPr="0025448E">
        <w:rPr>
          <w:lang w:val="ru-RU"/>
        </w:rPr>
        <w:t>), стилевой файл (.</w:t>
      </w:r>
      <w:proofErr w:type="spellStart"/>
      <w:r>
        <w:t>css</w:t>
      </w:r>
      <w:proofErr w:type="spellEnd"/>
      <w:r w:rsidRPr="0025448E">
        <w:rPr>
          <w:lang w:val="ru-RU"/>
        </w:rPr>
        <w:t xml:space="preserve">), который описывает элементы оформления </w:t>
      </w:r>
      <w:proofErr w:type="spellStart"/>
      <w:r w:rsidRPr="0025448E">
        <w:rPr>
          <w:lang w:val="ru-RU"/>
        </w:rPr>
        <w:t>веб</w:t>
      </w:r>
      <w:proofErr w:type="spellEnd"/>
      <w:r w:rsidRPr="0025448E">
        <w:rPr>
          <w:lang w:val="ru-RU"/>
        </w:rPr>
        <w:t xml:space="preserve"> страницы, загрузка изображений. Таким образом, чтобы выполнить задачу, загрузить </w:t>
      </w:r>
      <w:proofErr w:type="spellStart"/>
      <w:r w:rsidRPr="0025448E">
        <w:rPr>
          <w:lang w:val="ru-RU"/>
        </w:rPr>
        <w:t>веб</w:t>
      </w:r>
      <w:proofErr w:type="spellEnd"/>
      <w:r w:rsidRPr="0025448E">
        <w:rPr>
          <w:lang w:val="ru-RU"/>
        </w:rPr>
        <w:t xml:space="preserve"> страницу, необходимо реализовать несколько, отдельных сетевых операций.</w:t>
      </w:r>
    </w:p>
    <w:p w:rsidR="0025448E" w:rsidRPr="006F0368" w:rsidRDefault="0025448E" w:rsidP="00FF475D">
      <w:pPr>
        <w:pStyle w:val="a5"/>
        <w:rPr>
          <w:lang w:val="ru-RU"/>
        </w:rPr>
      </w:pPr>
    </w:p>
    <w:p w:rsidR="0025448E" w:rsidRPr="006F0368" w:rsidRDefault="0025448E" w:rsidP="00FF475D">
      <w:pPr>
        <w:pStyle w:val="a5"/>
        <w:rPr>
          <w:lang w:val="ru-RU"/>
        </w:rPr>
      </w:pPr>
    </w:p>
    <w:p w:rsidR="0025448E" w:rsidRPr="006F0368" w:rsidRDefault="0025448E" w:rsidP="00FF475D">
      <w:pPr>
        <w:pStyle w:val="a5"/>
        <w:rPr>
          <w:lang w:val="ru-RU"/>
        </w:rPr>
      </w:pPr>
    </w:p>
    <w:p w:rsidR="0025448E" w:rsidRPr="006F0368" w:rsidRDefault="0025448E" w:rsidP="00FF475D">
      <w:pPr>
        <w:pStyle w:val="a5"/>
        <w:rPr>
          <w:lang w:val="ru-RU"/>
        </w:rPr>
      </w:pPr>
    </w:p>
    <w:p w:rsidR="009C6D93" w:rsidRDefault="009C6D93" w:rsidP="00FF475D">
      <w:pPr>
        <w:pStyle w:val="a5"/>
      </w:pPr>
      <w:r>
        <w:rPr>
          <w:noProof/>
        </w:rPr>
        <w:drawing>
          <wp:inline distT="0" distB="0" distL="0" distR="0">
            <wp:extent cx="4152900" cy="1666875"/>
            <wp:effectExtent l="19050" t="0" r="0" b="0"/>
            <wp:docPr id="7" name="Рисунок 7" descr="https://studfile.net/html/2706/610/html_RAu0gRpLLx.xFpz/img-rKSy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610/html_RAu0gRpLLx.xFpz/img-rKSyH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93" w:rsidRDefault="009C6D93" w:rsidP="00FF475D">
      <w:pPr>
        <w:pStyle w:val="a5"/>
      </w:pPr>
      <w:r>
        <w:rPr>
          <w:noProof/>
        </w:rPr>
        <w:drawing>
          <wp:inline distT="0" distB="0" distL="0" distR="0">
            <wp:extent cx="5940425" cy="2422232"/>
            <wp:effectExtent l="19050" t="0" r="3175" b="0"/>
            <wp:docPr id="22" name="Рисунок 22" descr="https://works.doklad.ru/images/YVklT5HUaZQ/m4bf8c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orks.doklad.ru/images/YVklT5HUaZQ/m4bf8c17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93" w:rsidRDefault="009C6D93" w:rsidP="00FF475D">
      <w:pPr>
        <w:pStyle w:val="a5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8"/>
        <w:gridCol w:w="2620"/>
        <w:gridCol w:w="2654"/>
        <w:gridCol w:w="807"/>
        <w:gridCol w:w="407"/>
        <w:gridCol w:w="569"/>
      </w:tblGrid>
      <w:tr w:rsidR="009C6D93" w:rsidTr="009C6D93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D93" w:rsidRDefault="009C6D93">
            <w:pPr>
              <w:jc w:val="center"/>
            </w:pPr>
            <w:r>
              <w:t xml:space="preserve">Типы пакетов X.25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Packet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DCE </w:t>
            </w:r>
            <w:r>
              <w:rPr>
                <w:rStyle w:val="mwe-math-mathml-inline"/>
                <w:b/>
                <w:bCs/>
                <w:vanish/>
              </w:rPr>
              <w:t xml:space="preserve">→ {\displaystyle \to } </w:t>
            </w:r>
            <w:r w:rsidR="00965078" w:rsidRPr="00965078">
              <w:rPr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\to " style="width:24pt;height:24pt"/>
              </w:pict>
            </w:r>
            <w:r>
              <w:rPr>
                <w:b/>
                <w:bCs/>
              </w:rPr>
              <w:t xml:space="preserve">DTE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DTE </w:t>
            </w:r>
            <w:r>
              <w:rPr>
                <w:rStyle w:val="mwe-math-mathml-inline"/>
                <w:b/>
                <w:bCs/>
                <w:vanish/>
              </w:rPr>
              <w:t xml:space="preserve">→ {\displaystyle \to } </w:t>
            </w:r>
            <w:r w:rsidR="00965078" w:rsidRPr="00965078">
              <w:rPr>
                <w:b/>
                <w:bCs/>
              </w:rPr>
              <w:pict>
                <v:shape id="_x0000_i1026" type="#_x0000_t75" alt="\to " style="width:24pt;height:24pt"/>
              </w:pict>
            </w:r>
            <w:r>
              <w:rPr>
                <w:b/>
                <w:bCs/>
              </w:rPr>
              <w:t xml:space="preserve">DCE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VC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PVC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Установление и разрыв соединений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CALL REQ Запрос соединения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CALL ACC Вызов принят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CLR REQ Запрос разрыва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CLR CNF Подтверждение разрыва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Данные и прерывания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Data</w:t>
            </w:r>
            <w:proofErr w:type="spellEnd"/>
            <w:r>
              <w:t xml:space="preserve"> Пакет данных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Interrupt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INT REQ Запрос прерывания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Interrupt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INT CNF Подтверждение прерывания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65078">
            <w:hyperlink r:id="rId15" w:tooltip="Flow Control" w:history="1">
              <w:proofErr w:type="spellStart"/>
              <w:r w:rsidR="009C6D93">
                <w:rPr>
                  <w:rStyle w:val="a6"/>
                </w:rPr>
                <w:t>Flow</w:t>
              </w:r>
              <w:proofErr w:type="spellEnd"/>
              <w:r w:rsidR="009C6D93">
                <w:rPr>
                  <w:rStyle w:val="a6"/>
                </w:rPr>
                <w:t xml:space="preserve"> </w:t>
              </w:r>
              <w:proofErr w:type="spellStart"/>
              <w:r w:rsidR="009C6D93">
                <w:rPr>
                  <w:rStyle w:val="a6"/>
                </w:rPr>
                <w:t>Control</w:t>
              </w:r>
              <w:proofErr w:type="spellEnd"/>
            </w:hyperlink>
            <w:r w:rsidR="009C6D93">
              <w:t xml:space="preserve"> </w:t>
            </w:r>
            <w:proofErr w:type="spellStart"/>
            <w:r w:rsidR="009C6D93">
              <w:t>and</w:t>
            </w:r>
            <w:proofErr w:type="spellEnd"/>
            <w:r w:rsidR="009C6D93">
              <w:t xml:space="preserve"> </w:t>
            </w:r>
            <w:proofErr w:type="spellStart"/>
            <w:r w:rsidR="009C6D93">
              <w:t>Reset</w:t>
            </w:r>
            <w:proofErr w:type="spellEnd"/>
            <w:r w:rsidR="009C6D9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Reciever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RR Приемник готов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Reciever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RNR Приемник не готов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REJ Отказ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RES REQ Запрос сброса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RES CNF Подтверждение сброса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Restart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Restart</w:t>
            </w:r>
            <w:proofErr w:type="spellEnd"/>
            <w:r>
              <w:t xml:space="preserve"> </w:t>
            </w:r>
            <w:proofErr w:type="spellStart"/>
            <w:r>
              <w:t>Indication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RSTR REQ Запрос перезапуска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Restart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RSTR CNF Подтверждение перезапуска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Diagnostic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DIAG Диагностика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  <w:tr w:rsidR="009C6D93" w:rsidTr="009C6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D93" w:rsidRDefault="009C6D93">
            <w:proofErr w:type="spellStart"/>
            <w:r>
              <w:t>Registration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REG CNF Подтверждение регистрации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REG REQ Запрос регистрации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/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:rsidR="009C6D93" w:rsidRDefault="009C6D93">
            <w:r>
              <w:t xml:space="preserve">X </w:t>
            </w:r>
          </w:p>
        </w:tc>
      </w:tr>
    </w:tbl>
    <w:p w:rsidR="009C6D93" w:rsidRDefault="009C6D93" w:rsidP="009C6D93">
      <w:pPr>
        <w:pStyle w:val="a5"/>
      </w:pPr>
    </w:p>
    <w:p w:rsidR="009C6D93" w:rsidRPr="0025448E" w:rsidRDefault="009C6D93" w:rsidP="00FF475D">
      <w:pPr>
        <w:pStyle w:val="a5"/>
      </w:pPr>
    </w:p>
    <w:sectPr w:rsidR="009C6D93" w:rsidRPr="0025448E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5B7" w:rsidRDefault="006D15B7" w:rsidP="001B0128">
      <w:r>
        <w:separator/>
      </w:r>
    </w:p>
  </w:endnote>
  <w:endnote w:type="continuationSeparator" w:id="0">
    <w:p w:rsidR="006D15B7" w:rsidRDefault="006D15B7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5B7" w:rsidRDefault="006D15B7" w:rsidP="001B0128">
      <w:r>
        <w:separator/>
      </w:r>
    </w:p>
  </w:footnote>
  <w:footnote w:type="continuationSeparator" w:id="0">
    <w:p w:rsidR="006D15B7" w:rsidRDefault="006D15B7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71FD1"/>
    <w:rsid w:val="000B07B5"/>
    <w:rsid w:val="000B1B99"/>
    <w:rsid w:val="000C66A7"/>
    <w:rsid w:val="001118BA"/>
    <w:rsid w:val="00126A34"/>
    <w:rsid w:val="00151DB4"/>
    <w:rsid w:val="0018447B"/>
    <w:rsid w:val="0019544C"/>
    <w:rsid w:val="001B0128"/>
    <w:rsid w:val="0025448E"/>
    <w:rsid w:val="002C50F8"/>
    <w:rsid w:val="003161E9"/>
    <w:rsid w:val="00322F79"/>
    <w:rsid w:val="00324A72"/>
    <w:rsid w:val="00365542"/>
    <w:rsid w:val="003824B8"/>
    <w:rsid w:val="004359AB"/>
    <w:rsid w:val="00447F99"/>
    <w:rsid w:val="004852B6"/>
    <w:rsid w:val="004A3192"/>
    <w:rsid w:val="004A4BA0"/>
    <w:rsid w:val="004F262B"/>
    <w:rsid w:val="00506909"/>
    <w:rsid w:val="00546323"/>
    <w:rsid w:val="00596902"/>
    <w:rsid w:val="00691468"/>
    <w:rsid w:val="006D15B7"/>
    <w:rsid w:val="006F0368"/>
    <w:rsid w:val="00753B30"/>
    <w:rsid w:val="007A4F83"/>
    <w:rsid w:val="007E0C2C"/>
    <w:rsid w:val="007E4235"/>
    <w:rsid w:val="00861B5B"/>
    <w:rsid w:val="00886BCB"/>
    <w:rsid w:val="00887E8C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C17A31"/>
    <w:rsid w:val="00C33C62"/>
    <w:rsid w:val="00C40F92"/>
    <w:rsid w:val="00D40E95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P8iUpM5DH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-network.ru/5-urok-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Flow_Contro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WjIDS0XlAy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270DE-1835-40C5-BB5E-847B57EF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32</cp:revision>
  <dcterms:created xsi:type="dcterms:W3CDTF">2017-02-13T12:17:00Z</dcterms:created>
  <dcterms:modified xsi:type="dcterms:W3CDTF">2021-01-18T05:44:00Z</dcterms:modified>
</cp:coreProperties>
</file>