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3C17" w:rsidRPr="00ED3C17" w:rsidRDefault="00ED3C17" w:rsidP="00ED3C17">
      <w:pPr>
        <w:spacing w:before="100" w:beforeAutospacing="1" w:after="100" w:afterAutospacing="1" w:line="240" w:lineRule="auto"/>
        <w:jc w:val="both"/>
        <w:outlineLvl w:val="2"/>
        <w:rPr>
          <w:rFonts w:ascii="Tahoma" w:eastAsia="Times New Roman" w:hAnsi="Tahoma" w:cs="Tahoma"/>
          <w:b/>
          <w:bCs/>
          <w:sz w:val="20"/>
          <w:szCs w:val="20"/>
          <w:lang w:eastAsia="es-EC"/>
        </w:rPr>
      </w:pPr>
      <w:r w:rsidRPr="00ED3C17">
        <w:rPr>
          <w:rFonts w:ascii="Tahoma" w:eastAsia="Times New Roman" w:hAnsi="Tahoma" w:cs="Tahoma"/>
          <w:b/>
          <w:bCs/>
          <w:sz w:val="20"/>
          <w:szCs w:val="20"/>
          <w:lang w:eastAsia="es-EC"/>
        </w:rPr>
        <w:t>SEÑORA JUEZA DE LA UNIDAD JUDICIAL CIVIL DEL CANTÓN CAÑAR PROVINCIA DE CAÑAR.</w:t>
      </w:r>
    </w:p>
    <w:p w:rsidR="00ED3C17" w:rsidRPr="00ED3C17" w:rsidRDefault="00ED3C17" w:rsidP="00ED3C17">
      <w:pPr>
        <w:spacing w:before="100" w:beforeAutospacing="1" w:after="100" w:afterAutospacing="1" w:line="240" w:lineRule="auto"/>
        <w:jc w:val="both"/>
        <w:rPr>
          <w:rFonts w:ascii="Tahoma" w:eastAsia="Times New Roman" w:hAnsi="Tahoma" w:cs="Tahoma"/>
          <w:sz w:val="20"/>
          <w:szCs w:val="20"/>
          <w:lang w:eastAsia="es-EC"/>
        </w:rPr>
      </w:pPr>
      <w:r w:rsidRPr="00ED3C17">
        <w:rPr>
          <w:rFonts w:ascii="Tahoma" w:eastAsia="Times New Roman" w:hAnsi="Tahoma" w:cs="Tahoma"/>
          <w:sz w:val="20"/>
          <w:szCs w:val="20"/>
          <w:lang w:eastAsia="es-EC"/>
        </w:rPr>
        <w:t xml:space="preserve">Yo, </w:t>
      </w:r>
      <w:r w:rsidRPr="00ED3C17">
        <w:rPr>
          <w:rFonts w:ascii="Tahoma" w:eastAsia="Times New Roman" w:hAnsi="Tahoma" w:cs="Tahoma"/>
          <w:b/>
          <w:bCs/>
          <w:sz w:val="20"/>
          <w:szCs w:val="20"/>
          <w:lang w:eastAsia="es-EC"/>
        </w:rPr>
        <w:t xml:space="preserve">Manuel Eliodoro </w:t>
      </w:r>
      <w:proofErr w:type="spellStart"/>
      <w:r w:rsidRPr="00ED3C17">
        <w:rPr>
          <w:rFonts w:ascii="Tahoma" w:eastAsia="Times New Roman" w:hAnsi="Tahoma" w:cs="Tahoma"/>
          <w:b/>
          <w:bCs/>
          <w:sz w:val="20"/>
          <w:szCs w:val="20"/>
          <w:lang w:eastAsia="es-EC"/>
        </w:rPr>
        <w:t>Mizhirumbay</w:t>
      </w:r>
      <w:proofErr w:type="spellEnd"/>
      <w:r w:rsidRPr="00ED3C17">
        <w:rPr>
          <w:rFonts w:ascii="Tahoma" w:eastAsia="Times New Roman" w:hAnsi="Tahoma" w:cs="Tahoma"/>
          <w:b/>
          <w:bCs/>
          <w:sz w:val="20"/>
          <w:szCs w:val="20"/>
          <w:lang w:eastAsia="es-EC"/>
        </w:rPr>
        <w:t xml:space="preserve"> </w:t>
      </w:r>
      <w:proofErr w:type="spellStart"/>
      <w:r w:rsidRPr="00ED3C17">
        <w:rPr>
          <w:rFonts w:ascii="Tahoma" w:eastAsia="Times New Roman" w:hAnsi="Tahoma" w:cs="Tahoma"/>
          <w:b/>
          <w:bCs/>
          <w:sz w:val="20"/>
          <w:szCs w:val="20"/>
          <w:lang w:eastAsia="es-EC"/>
        </w:rPr>
        <w:t>Chuqui</w:t>
      </w:r>
      <w:proofErr w:type="spellEnd"/>
      <w:r w:rsidRPr="00ED3C17">
        <w:rPr>
          <w:rFonts w:ascii="Tahoma" w:eastAsia="Times New Roman" w:hAnsi="Tahoma" w:cs="Tahoma"/>
          <w:b/>
          <w:bCs/>
          <w:sz w:val="20"/>
          <w:szCs w:val="20"/>
          <w:lang w:eastAsia="es-EC"/>
        </w:rPr>
        <w:t xml:space="preserve">, </w:t>
      </w:r>
      <w:r w:rsidRPr="00ED3C17">
        <w:rPr>
          <w:rFonts w:ascii="Tahoma" w:eastAsia="Times New Roman" w:hAnsi="Tahoma" w:cs="Tahoma"/>
          <w:sz w:val="20"/>
          <w:szCs w:val="20"/>
          <w:lang w:eastAsia="es-EC"/>
        </w:rPr>
        <w:t xml:space="preserve">dentro del proceso </w:t>
      </w:r>
      <w:r w:rsidRPr="00ED3C17">
        <w:rPr>
          <w:rFonts w:ascii="Tahoma" w:hAnsi="Tahoma" w:cs="Tahoma"/>
          <w:sz w:val="20"/>
          <w:szCs w:val="20"/>
        </w:rPr>
        <w:br/>
      </w:r>
      <w:r w:rsidRPr="00ED3C17">
        <w:rPr>
          <w:rFonts w:ascii="Tahoma" w:hAnsi="Tahoma" w:cs="Tahoma"/>
          <w:b/>
          <w:sz w:val="20"/>
          <w:szCs w:val="20"/>
          <w:shd w:val="clear" w:color="auto" w:fill="F5F5F5"/>
        </w:rPr>
        <w:t>03332</w:t>
      </w:r>
      <w:r w:rsidRPr="00ED3C17">
        <w:rPr>
          <w:rFonts w:ascii="Tahoma" w:hAnsi="Tahoma" w:cs="Tahoma"/>
          <w:b/>
          <w:sz w:val="20"/>
          <w:szCs w:val="20"/>
          <w:shd w:val="clear" w:color="auto" w:fill="F5F5F5"/>
        </w:rPr>
        <w:t>-</w:t>
      </w:r>
      <w:r w:rsidRPr="00ED3C17">
        <w:rPr>
          <w:rFonts w:ascii="Tahoma" w:hAnsi="Tahoma" w:cs="Tahoma"/>
          <w:b/>
          <w:sz w:val="20"/>
          <w:szCs w:val="20"/>
          <w:shd w:val="clear" w:color="auto" w:fill="F5F5F5"/>
        </w:rPr>
        <w:t>2024</w:t>
      </w:r>
      <w:r w:rsidRPr="00ED3C17">
        <w:rPr>
          <w:rFonts w:ascii="Tahoma" w:hAnsi="Tahoma" w:cs="Tahoma"/>
          <w:b/>
          <w:sz w:val="20"/>
          <w:szCs w:val="20"/>
          <w:shd w:val="clear" w:color="auto" w:fill="F5F5F5"/>
        </w:rPr>
        <w:t>-</w:t>
      </w:r>
      <w:r w:rsidRPr="00ED3C17">
        <w:rPr>
          <w:rFonts w:ascii="Tahoma" w:hAnsi="Tahoma" w:cs="Tahoma"/>
          <w:b/>
          <w:sz w:val="20"/>
          <w:szCs w:val="20"/>
          <w:shd w:val="clear" w:color="auto" w:fill="F5F5F5"/>
        </w:rPr>
        <w:t>00007</w:t>
      </w:r>
      <w:r w:rsidRPr="00ED3C17">
        <w:rPr>
          <w:rFonts w:ascii="Tahoma" w:hAnsi="Tahoma" w:cs="Tahoma"/>
          <w:sz w:val="20"/>
          <w:szCs w:val="20"/>
          <w:shd w:val="clear" w:color="auto" w:fill="F5F5F5"/>
        </w:rPr>
        <w:t xml:space="preserve"> </w:t>
      </w:r>
      <w:r w:rsidRPr="00ED3C17">
        <w:rPr>
          <w:rFonts w:ascii="Tahoma" w:eastAsia="Times New Roman" w:hAnsi="Tahoma" w:cs="Tahoma"/>
          <w:sz w:val="20"/>
          <w:szCs w:val="20"/>
          <w:lang w:eastAsia="es-EC"/>
        </w:rPr>
        <w:t>ante usted comparezco y solicito:</w:t>
      </w:r>
    </w:p>
    <w:p w:rsidR="00ED3C17" w:rsidRPr="00ED3C17" w:rsidRDefault="00ED3C17" w:rsidP="00ED3C17">
      <w:pPr>
        <w:spacing w:before="100" w:beforeAutospacing="1" w:after="100" w:afterAutospacing="1" w:line="240" w:lineRule="auto"/>
        <w:jc w:val="both"/>
        <w:rPr>
          <w:rFonts w:ascii="Tahoma" w:eastAsia="Times New Roman" w:hAnsi="Tahoma" w:cs="Tahoma"/>
          <w:sz w:val="20"/>
          <w:szCs w:val="20"/>
          <w:lang w:eastAsia="es-EC"/>
        </w:rPr>
      </w:pPr>
      <w:r>
        <w:rPr>
          <w:rFonts w:ascii="Tahoma" w:eastAsia="Times New Roman" w:hAnsi="Tahoma" w:cs="Tahoma"/>
          <w:bCs/>
          <w:sz w:val="20"/>
          <w:szCs w:val="20"/>
          <w:lang w:eastAsia="es-EC"/>
        </w:rPr>
        <w:t>1.</w:t>
      </w:r>
      <w:r w:rsidR="00EA44E8">
        <w:rPr>
          <w:rFonts w:ascii="Tahoma" w:eastAsia="Times New Roman" w:hAnsi="Tahoma" w:cs="Tahoma"/>
          <w:bCs/>
          <w:sz w:val="20"/>
          <w:szCs w:val="20"/>
          <w:lang w:eastAsia="es-EC"/>
        </w:rPr>
        <w:t xml:space="preserve"> </w:t>
      </w:r>
      <w:r w:rsidRPr="00ED3C17">
        <w:rPr>
          <w:rFonts w:ascii="Tahoma" w:eastAsia="Times New Roman" w:hAnsi="Tahoma" w:cs="Tahoma"/>
          <w:bCs/>
          <w:sz w:val="20"/>
          <w:szCs w:val="20"/>
          <w:lang w:eastAsia="es-EC"/>
        </w:rPr>
        <w:t>Señor Juez</w:t>
      </w:r>
      <w:r w:rsidRPr="00ED3C17">
        <w:rPr>
          <w:rFonts w:ascii="Tahoma" w:eastAsia="Times New Roman" w:hAnsi="Tahoma" w:cs="Tahoma"/>
          <w:b/>
          <w:bCs/>
          <w:sz w:val="20"/>
          <w:szCs w:val="20"/>
          <w:lang w:eastAsia="es-EC"/>
        </w:rPr>
        <w:t xml:space="preserve"> </w:t>
      </w:r>
      <w:r w:rsidRPr="00ED3C17">
        <w:rPr>
          <w:rFonts w:ascii="Tahoma" w:eastAsia="Times New Roman" w:hAnsi="Tahoma" w:cs="Tahoma"/>
          <w:sz w:val="20"/>
          <w:szCs w:val="20"/>
          <w:lang w:eastAsia="es-EC"/>
        </w:rPr>
        <w:t xml:space="preserve">Mediante </w:t>
      </w:r>
      <w:r w:rsidRPr="00ED3C17">
        <w:rPr>
          <w:rFonts w:ascii="Tahoma" w:eastAsia="Times New Roman" w:hAnsi="Tahoma" w:cs="Tahoma"/>
          <w:b/>
          <w:bCs/>
          <w:sz w:val="20"/>
          <w:szCs w:val="20"/>
          <w:lang w:eastAsia="es-EC"/>
        </w:rPr>
        <w:t>sentencia debidamente ejecutoriada</w:t>
      </w:r>
      <w:r w:rsidRPr="00ED3C17">
        <w:rPr>
          <w:rFonts w:ascii="Tahoma" w:eastAsia="Times New Roman" w:hAnsi="Tahoma" w:cs="Tahoma"/>
          <w:sz w:val="20"/>
          <w:szCs w:val="20"/>
          <w:lang w:eastAsia="es-EC"/>
        </w:rPr>
        <w:t xml:space="preserve">, dictada dentro de la presente causa, su autoridad </w:t>
      </w:r>
      <w:r w:rsidRPr="00ED3C17">
        <w:rPr>
          <w:rFonts w:ascii="Tahoma" w:eastAsia="Times New Roman" w:hAnsi="Tahoma" w:cs="Tahoma"/>
          <w:b/>
          <w:bCs/>
          <w:sz w:val="20"/>
          <w:szCs w:val="20"/>
          <w:lang w:eastAsia="es-EC"/>
        </w:rPr>
        <w:t>aceptó la demanda de prescripción</w:t>
      </w:r>
      <w:r w:rsidR="00C95FCA">
        <w:rPr>
          <w:rFonts w:ascii="Tahoma" w:eastAsia="Times New Roman" w:hAnsi="Tahoma" w:cs="Tahoma"/>
          <w:b/>
          <w:bCs/>
          <w:sz w:val="20"/>
          <w:szCs w:val="20"/>
          <w:lang w:eastAsia="es-EC"/>
        </w:rPr>
        <w:t xml:space="preserve"> extraordinaria</w:t>
      </w:r>
      <w:r w:rsidRPr="00ED3C17">
        <w:rPr>
          <w:rFonts w:ascii="Tahoma" w:eastAsia="Times New Roman" w:hAnsi="Tahoma" w:cs="Tahoma"/>
          <w:b/>
          <w:bCs/>
          <w:sz w:val="20"/>
          <w:szCs w:val="20"/>
          <w:lang w:eastAsia="es-EC"/>
        </w:rPr>
        <w:t xml:space="preserve"> adquisitiva de dominio</w:t>
      </w:r>
      <w:r w:rsidRPr="00ED3C17">
        <w:rPr>
          <w:rFonts w:ascii="Tahoma" w:eastAsia="Times New Roman" w:hAnsi="Tahoma" w:cs="Tahoma"/>
          <w:sz w:val="20"/>
          <w:szCs w:val="20"/>
          <w:lang w:eastAsia="es-EC"/>
        </w:rPr>
        <w:t>, declarando a mi favor el derecho de dominio sobre el bien inmueble objeto del proceso, conforme consta en autos.</w:t>
      </w:r>
    </w:p>
    <w:p w:rsidR="00C95FCA" w:rsidRDefault="00ED3C17" w:rsidP="00ED3C17">
      <w:pPr>
        <w:spacing w:before="100" w:beforeAutospacing="1" w:after="100" w:afterAutospacing="1" w:line="240" w:lineRule="auto"/>
        <w:jc w:val="both"/>
        <w:rPr>
          <w:rFonts w:ascii="Tahoma" w:eastAsia="Times New Roman" w:hAnsi="Tahoma" w:cs="Tahoma"/>
          <w:sz w:val="20"/>
          <w:szCs w:val="20"/>
          <w:lang w:eastAsia="es-EC"/>
        </w:rPr>
      </w:pPr>
      <w:r>
        <w:rPr>
          <w:rFonts w:ascii="Tahoma" w:eastAsia="Times New Roman" w:hAnsi="Tahoma" w:cs="Tahoma"/>
          <w:sz w:val="20"/>
          <w:szCs w:val="20"/>
          <w:lang w:eastAsia="es-EC"/>
        </w:rPr>
        <w:t>1.1.</w:t>
      </w:r>
      <w:r w:rsidR="00EA44E8">
        <w:rPr>
          <w:rFonts w:ascii="Tahoma" w:eastAsia="Times New Roman" w:hAnsi="Tahoma" w:cs="Tahoma"/>
          <w:sz w:val="20"/>
          <w:szCs w:val="20"/>
          <w:lang w:eastAsia="es-EC"/>
        </w:rPr>
        <w:t xml:space="preserve"> </w:t>
      </w:r>
      <w:proofErr w:type="gramStart"/>
      <w:r w:rsidRPr="00ED3C17">
        <w:rPr>
          <w:rFonts w:ascii="Tahoma" w:eastAsia="Times New Roman" w:hAnsi="Tahoma" w:cs="Tahoma"/>
          <w:sz w:val="20"/>
          <w:szCs w:val="20"/>
          <w:lang w:eastAsia="es-EC"/>
        </w:rPr>
        <w:t>En</w:t>
      </w:r>
      <w:proofErr w:type="gramEnd"/>
      <w:r w:rsidRPr="00ED3C17">
        <w:rPr>
          <w:rFonts w:ascii="Tahoma" w:eastAsia="Times New Roman" w:hAnsi="Tahoma" w:cs="Tahoma"/>
          <w:sz w:val="20"/>
          <w:szCs w:val="20"/>
          <w:lang w:eastAsia="es-EC"/>
        </w:rPr>
        <w:t xml:space="preserve"> cumplimiento de lo resuelto, he acudido al </w:t>
      </w:r>
      <w:r w:rsidRPr="00ED3C17">
        <w:rPr>
          <w:rFonts w:ascii="Tahoma" w:eastAsia="Times New Roman" w:hAnsi="Tahoma" w:cs="Tahoma"/>
          <w:b/>
          <w:bCs/>
          <w:sz w:val="20"/>
          <w:szCs w:val="20"/>
          <w:lang w:eastAsia="es-EC"/>
        </w:rPr>
        <w:t>Registro de la Propiedad del cantón Cañar</w:t>
      </w:r>
      <w:r w:rsidRPr="00ED3C17">
        <w:rPr>
          <w:rFonts w:ascii="Tahoma" w:eastAsia="Times New Roman" w:hAnsi="Tahoma" w:cs="Tahoma"/>
          <w:sz w:val="20"/>
          <w:szCs w:val="20"/>
          <w:lang w:eastAsia="es-EC"/>
        </w:rPr>
        <w:t xml:space="preserve"> a fin de que se proceda con la </w:t>
      </w:r>
      <w:r w:rsidRPr="00ED3C17">
        <w:rPr>
          <w:rFonts w:ascii="Tahoma" w:eastAsia="Times New Roman" w:hAnsi="Tahoma" w:cs="Tahoma"/>
          <w:b/>
          <w:bCs/>
          <w:sz w:val="20"/>
          <w:szCs w:val="20"/>
          <w:lang w:eastAsia="es-EC"/>
        </w:rPr>
        <w:t>inscripción de la referida sentencia</w:t>
      </w:r>
      <w:r w:rsidRPr="00ED3C17">
        <w:rPr>
          <w:rFonts w:ascii="Tahoma" w:eastAsia="Times New Roman" w:hAnsi="Tahoma" w:cs="Tahoma"/>
          <w:sz w:val="20"/>
          <w:szCs w:val="20"/>
          <w:lang w:eastAsia="es-EC"/>
        </w:rPr>
        <w:t xml:space="preserve">; sin embargo, el señor Registrador </w:t>
      </w:r>
      <w:r w:rsidRPr="00ED3C17">
        <w:rPr>
          <w:rFonts w:ascii="Tahoma" w:eastAsia="Times New Roman" w:hAnsi="Tahoma" w:cs="Tahoma"/>
          <w:b/>
          <w:bCs/>
          <w:sz w:val="20"/>
          <w:szCs w:val="20"/>
          <w:lang w:eastAsia="es-EC"/>
        </w:rPr>
        <w:t>se ha negado a realizar dicha inscripción</w:t>
      </w:r>
      <w:r w:rsidRPr="00ED3C17">
        <w:rPr>
          <w:rFonts w:ascii="Tahoma" w:eastAsia="Times New Roman" w:hAnsi="Tahoma" w:cs="Tahoma"/>
          <w:sz w:val="20"/>
          <w:szCs w:val="20"/>
          <w:lang w:eastAsia="es-EC"/>
        </w:rPr>
        <w:t xml:space="preserve">, </w:t>
      </w:r>
      <w:r>
        <w:rPr>
          <w:rFonts w:ascii="Tahoma" w:eastAsia="Times New Roman" w:hAnsi="Tahoma" w:cs="Tahoma"/>
          <w:sz w:val="20"/>
          <w:szCs w:val="20"/>
          <w:lang w:eastAsia="es-EC"/>
        </w:rPr>
        <w:t>solicitando de cuál de los lotes de la subdivisión de hecho corresponde la sentencia de prescripción extraordinario adquisitiva del dominio.</w:t>
      </w:r>
    </w:p>
    <w:p w:rsidR="00C95FCA" w:rsidRPr="00C95FCA" w:rsidRDefault="00C95FCA" w:rsidP="00ED3C17">
      <w:pPr>
        <w:spacing w:before="100" w:beforeAutospacing="1" w:after="100" w:afterAutospacing="1" w:line="240" w:lineRule="auto"/>
        <w:jc w:val="both"/>
        <w:rPr>
          <w:rFonts w:ascii="Tahoma" w:eastAsia="Times New Roman" w:hAnsi="Tahoma" w:cs="Tahoma"/>
          <w:bCs/>
          <w:sz w:val="20"/>
          <w:szCs w:val="20"/>
          <w:lang w:eastAsia="es-EC"/>
        </w:rPr>
      </w:pPr>
      <w:r w:rsidRPr="00C95FCA">
        <w:rPr>
          <w:rFonts w:ascii="Tahoma" w:eastAsia="Times New Roman" w:hAnsi="Tahoma" w:cs="Tahoma"/>
          <w:bCs/>
          <w:sz w:val="20"/>
          <w:szCs w:val="20"/>
          <w:lang w:eastAsia="es-EC"/>
        </w:rPr>
        <w:t xml:space="preserve">2. Dando cumplimiento a lo dispuesto </w:t>
      </w:r>
      <w:r>
        <w:rPr>
          <w:rFonts w:ascii="Tahoma" w:eastAsia="Times New Roman" w:hAnsi="Tahoma" w:cs="Tahoma"/>
          <w:bCs/>
          <w:sz w:val="20"/>
          <w:szCs w:val="20"/>
          <w:lang w:eastAsia="es-EC"/>
        </w:rPr>
        <w:t xml:space="preserve">por su autoridad </w:t>
      </w:r>
      <w:r w:rsidRPr="00C95FCA">
        <w:rPr>
          <w:rFonts w:ascii="Tahoma" w:eastAsia="Times New Roman" w:hAnsi="Tahoma" w:cs="Tahoma"/>
          <w:bCs/>
          <w:sz w:val="20"/>
          <w:szCs w:val="20"/>
          <w:lang w:eastAsia="es-EC"/>
        </w:rPr>
        <w:t>en fecha 25 de noviembre del 2025 me permito adjuntar la documentación en donde consta la subdivisión de hecho realizada por los propietarios del inmueble, en los documentos se desprende que existen 4 lotes de terreno ya delimitados</w:t>
      </w:r>
      <w:r>
        <w:rPr>
          <w:rFonts w:ascii="Tahoma" w:eastAsia="Times New Roman" w:hAnsi="Tahoma" w:cs="Tahoma"/>
          <w:bCs/>
          <w:sz w:val="20"/>
          <w:szCs w:val="20"/>
          <w:lang w:eastAsia="es-EC"/>
        </w:rPr>
        <w:t xml:space="preserve">, cabe mencionar que el inmueble que se </w:t>
      </w:r>
      <w:r w:rsidR="00EA44E8">
        <w:rPr>
          <w:rFonts w:ascii="Tahoma" w:eastAsia="Times New Roman" w:hAnsi="Tahoma" w:cs="Tahoma"/>
          <w:bCs/>
          <w:sz w:val="20"/>
          <w:szCs w:val="20"/>
          <w:lang w:eastAsia="es-EC"/>
        </w:rPr>
        <w:t>realizó</w:t>
      </w:r>
      <w:r>
        <w:rPr>
          <w:rFonts w:ascii="Tahoma" w:eastAsia="Times New Roman" w:hAnsi="Tahoma" w:cs="Tahoma"/>
          <w:bCs/>
          <w:sz w:val="20"/>
          <w:szCs w:val="20"/>
          <w:lang w:eastAsia="es-EC"/>
        </w:rPr>
        <w:t xml:space="preserve"> la</w:t>
      </w:r>
      <w:r w:rsidRPr="00C95FCA">
        <w:rPr>
          <w:rFonts w:ascii="Tahoma" w:eastAsia="Times New Roman" w:hAnsi="Tahoma" w:cs="Tahoma"/>
          <w:b/>
          <w:bCs/>
          <w:sz w:val="20"/>
          <w:szCs w:val="20"/>
          <w:lang w:eastAsia="es-EC"/>
        </w:rPr>
        <w:t xml:space="preserve"> </w:t>
      </w:r>
      <w:r w:rsidRPr="00ED3C17">
        <w:rPr>
          <w:rFonts w:ascii="Tahoma" w:eastAsia="Times New Roman" w:hAnsi="Tahoma" w:cs="Tahoma"/>
          <w:b/>
          <w:bCs/>
          <w:sz w:val="20"/>
          <w:szCs w:val="20"/>
          <w:lang w:eastAsia="es-EC"/>
        </w:rPr>
        <w:t>prescripción</w:t>
      </w:r>
      <w:r>
        <w:rPr>
          <w:rFonts w:ascii="Tahoma" w:eastAsia="Times New Roman" w:hAnsi="Tahoma" w:cs="Tahoma"/>
          <w:b/>
          <w:bCs/>
          <w:sz w:val="20"/>
          <w:szCs w:val="20"/>
          <w:lang w:eastAsia="es-EC"/>
        </w:rPr>
        <w:t xml:space="preserve"> extraordinaria</w:t>
      </w:r>
      <w:r w:rsidRPr="00ED3C17">
        <w:rPr>
          <w:rFonts w:ascii="Tahoma" w:eastAsia="Times New Roman" w:hAnsi="Tahoma" w:cs="Tahoma"/>
          <w:b/>
          <w:bCs/>
          <w:sz w:val="20"/>
          <w:szCs w:val="20"/>
          <w:lang w:eastAsia="es-EC"/>
        </w:rPr>
        <w:t xml:space="preserve"> adquisitiva de dominio</w:t>
      </w:r>
      <w:r>
        <w:rPr>
          <w:rFonts w:ascii="Tahoma" w:eastAsia="Times New Roman" w:hAnsi="Tahoma" w:cs="Tahoma"/>
          <w:b/>
          <w:bCs/>
          <w:sz w:val="20"/>
          <w:szCs w:val="20"/>
          <w:lang w:eastAsia="es-EC"/>
        </w:rPr>
        <w:t xml:space="preserve"> solamente se encuentra en una parte del lote 3 y el restante no se encuentra en ninguno de los cuatro lotes.</w:t>
      </w:r>
    </w:p>
    <w:p w:rsidR="00ED3C17" w:rsidRPr="00ED3C17" w:rsidRDefault="00C95FCA" w:rsidP="00ED3C17">
      <w:pPr>
        <w:spacing w:before="100" w:beforeAutospacing="1" w:after="100" w:afterAutospacing="1" w:line="240" w:lineRule="auto"/>
        <w:jc w:val="both"/>
        <w:rPr>
          <w:rFonts w:ascii="Tahoma" w:eastAsia="Times New Roman" w:hAnsi="Tahoma" w:cs="Tahoma"/>
          <w:sz w:val="20"/>
          <w:szCs w:val="20"/>
          <w:lang w:eastAsia="es-EC"/>
        </w:rPr>
      </w:pPr>
      <w:r w:rsidRPr="00EA44E8">
        <w:rPr>
          <w:rFonts w:ascii="Tahoma" w:eastAsia="Times New Roman" w:hAnsi="Tahoma" w:cs="Tahoma"/>
          <w:bCs/>
          <w:sz w:val="20"/>
          <w:szCs w:val="20"/>
          <w:lang w:eastAsia="es-EC"/>
        </w:rPr>
        <w:t xml:space="preserve"> 3</w:t>
      </w:r>
      <w:r w:rsidR="00ED3C17" w:rsidRPr="00EA44E8">
        <w:rPr>
          <w:rFonts w:ascii="Tahoma" w:eastAsia="Times New Roman" w:hAnsi="Tahoma" w:cs="Tahoma"/>
          <w:bCs/>
          <w:sz w:val="20"/>
          <w:szCs w:val="20"/>
          <w:lang w:eastAsia="es-EC"/>
        </w:rPr>
        <w:t>.</w:t>
      </w:r>
      <w:r w:rsidR="00ED3C17" w:rsidRPr="00ED3C17">
        <w:rPr>
          <w:rFonts w:ascii="Tahoma" w:eastAsia="Times New Roman" w:hAnsi="Tahoma" w:cs="Tahoma"/>
          <w:sz w:val="20"/>
          <w:szCs w:val="20"/>
          <w:lang w:eastAsia="es-EC"/>
        </w:rPr>
        <w:t xml:space="preserve">De conformidad con lo dispuesto en los </w:t>
      </w:r>
      <w:r w:rsidR="00ED3C17" w:rsidRPr="00EA44E8">
        <w:rPr>
          <w:rFonts w:ascii="Tahoma" w:eastAsia="Times New Roman" w:hAnsi="Tahoma" w:cs="Tahoma"/>
          <w:bCs/>
          <w:sz w:val="20"/>
          <w:szCs w:val="20"/>
          <w:lang w:eastAsia="es-EC"/>
        </w:rPr>
        <w:t>artículos 82 y 226 de la Constitución de la República</w:t>
      </w:r>
      <w:r w:rsidR="00ED3C17" w:rsidRPr="00ED3C17">
        <w:rPr>
          <w:rFonts w:ascii="Tahoma" w:eastAsia="Times New Roman" w:hAnsi="Tahoma" w:cs="Tahoma"/>
          <w:sz w:val="20"/>
          <w:szCs w:val="20"/>
          <w:lang w:eastAsia="es-EC"/>
        </w:rPr>
        <w:t xml:space="preserve">, así como en las normas que regulan el sistema registral, </w:t>
      </w:r>
      <w:r w:rsidR="00ED3C17" w:rsidRPr="00EA44E8">
        <w:rPr>
          <w:rFonts w:ascii="Tahoma" w:eastAsia="Times New Roman" w:hAnsi="Tahoma" w:cs="Tahoma"/>
          <w:bCs/>
          <w:sz w:val="20"/>
          <w:szCs w:val="20"/>
          <w:lang w:eastAsia="es-EC"/>
        </w:rPr>
        <w:t>las sentencias ejecutoriadas son de obligatorio cumplimiento</w:t>
      </w:r>
      <w:r w:rsidR="00ED3C17" w:rsidRPr="00ED3C17">
        <w:rPr>
          <w:rFonts w:ascii="Tahoma" w:eastAsia="Times New Roman" w:hAnsi="Tahoma" w:cs="Tahoma"/>
          <w:sz w:val="20"/>
          <w:szCs w:val="20"/>
          <w:lang w:eastAsia="es-EC"/>
        </w:rPr>
        <w:t>, y ninguna autoridad administrativa puede revisar, condicionar o negarse a ejecutar lo resuelto por una jueza o juez competente.</w:t>
      </w:r>
    </w:p>
    <w:p w:rsidR="00ED3C17" w:rsidRPr="00ED3C17" w:rsidRDefault="00EA44E8" w:rsidP="00ED3C17">
      <w:pPr>
        <w:spacing w:before="100" w:beforeAutospacing="1" w:after="100" w:afterAutospacing="1" w:line="240" w:lineRule="auto"/>
        <w:jc w:val="both"/>
        <w:rPr>
          <w:rFonts w:ascii="Tahoma" w:eastAsia="Times New Roman" w:hAnsi="Tahoma" w:cs="Tahoma"/>
          <w:sz w:val="20"/>
          <w:szCs w:val="20"/>
          <w:lang w:eastAsia="es-EC"/>
        </w:rPr>
      </w:pPr>
      <w:r w:rsidRPr="00EA44E8">
        <w:rPr>
          <w:rFonts w:ascii="Tahoma" w:eastAsia="Times New Roman" w:hAnsi="Tahoma" w:cs="Tahoma"/>
          <w:bCs/>
          <w:sz w:val="20"/>
          <w:szCs w:val="20"/>
          <w:lang w:eastAsia="es-EC"/>
        </w:rPr>
        <w:t>4</w:t>
      </w:r>
      <w:r w:rsidR="00ED3C17" w:rsidRPr="00EA44E8">
        <w:rPr>
          <w:rFonts w:ascii="Tahoma" w:eastAsia="Times New Roman" w:hAnsi="Tahoma" w:cs="Tahoma"/>
          <w:bCs/>
          <w:sz w:val="20"/>
          <w:szCs w:val="20"/>
          <w:lang w:eastAsia="es-EC"/>
        </w:rPr>
        <w:t xml:space="preserve">. </w:t>
      </w:r>
      <w:r w:rsidR="00ED3C17" w:rsidRPr="00ED3C17">
        <w:rPr>
          <w:rFonts w:ascii="Tahoma" w:eastAsia="Times New Roman" w:hAnsi="Tahoma" w:cs="Tahoma"/>
          <w:sz w:val="20"/>
          <w:szCs w:val="20"/>
          <w:lang w:eastAsia="es-EC"/>
        </w:rPr>
        <w:t xml:space="preserve">En mérito de lo expuesto, </w:t>
      </w:r>
      <w:r w:rsidR="00ED3C17" w:rsidRPr="00EA44E8">
        <w:rPr>
          <w:rFonts w:ascii="Tahoma" w:eastAsia="Times New Roman" w:hAnsi="Tahoma" w:cs="Tahoma"/>
          <w:bCs/>
          <w:sz w:val="20"/>
          <w:szCs w:val="20"/>
          <w:lang w:eastAsia="es-EC"/>
        </w:rPr>
        <w:t>solicito respetuosamente a su autoridad</w:t>
      </w:r>
      <w:r w:rsidR="00ED3C17" w:rsidRPr="00ED3C17">
        <w:rPr>
          <w:rFonts w:ascii="Tahoma" w:eastAsia="Times New Roman" w:hAnsi="Tahoma" w:cs="Tahoma"/>
          <w:sz w:val="20"/>
          <w:szCs w:val="20"/>
          <w:lang w:eastAsia="es-EC"/>
        </w:rPr>
        <w:t>:</w:t>
      </w:r>
    </w:p>
    <w:p w:rsidR="00ED3C17" w:rsidRPr="00EA44E8" w:rsidRDefault="00EA44E8" w:rsidP="00EA44E8">
      <w:pPr>
        <w:spacing w:before="100" w:beforeAutospacing="1" w:after="100" w:afterAutospacing="1" w:line="240" w:lineRule="auto"/>
        <w:jc w:val="both"/>
        <w:rPr>
          <w:rFonts w:ascii="Tahoma" w:eastAsia="Times New Roman" w:hAnsi="Tahoma" w:cs="Tahoma"/>
          <w:sz w:val="20"/>
          <w:szCs w:val="20"/>
          <w:lang w:eastAsia="es-EC"/>
        </w:rPr>
      </w:pPr>
      <w:r w:rsidRPr="00EA44E8">
        <w:rPr>
          <w:rFonts w:ascii="Tahoma" w:eastAsia="Times New Roman" w:hAnsi="Tahoma" w:cs="Tahoma"/>
          <w:bCs/>
          <w:sz w:val="20"/>
          <w:szCs w:val="20"/>
          <w:lang w:eastAsia="es-EC"/>
        </w:rPr>
        <w:t>4.1</w:t>
      </w:r>
      <w:r w:rsidR="00ED3C17" w:rsidRPr="00EA44E8">
        <w:rPr>
          <w:rFonts w:ascii="Tahoma" w:eastAsia="Times New Roman" w:hAnsi="Tahoma" w:cs="Tahoma"/>
          <w:bCs/>
          <w:sz w:val="20"/>
          <w:szCs w:val="20"/>
          <w:lang w:eastAsia="es-EC"/>
        </w:rPr>
        <w:t>Se disponga mediante providencia expresa</w:t>
      </w:r>
      <w:r w:rsidR="00ED3C17" w:rsidRPr="00EA44E8">
        <w:rPr>
          <w:rFonts w:ascii="Tahoma" w:eastAsia="Times New Roman" w:hAnsi="Tahoma" w:cs="Tahoma"/>
          <w:sz w:val="20"/>
          <w:szCs w:val="20"/>
          <w:lang w:eastAsia="es-EC"/>
        </w:rPr>
        <w:t xml:space="preserve"> que el </w:t>
      </w:r>
      <w:r w:rsidR="00ED3C17" w:rsidRPr="00EA44E8">
        <w:rPr>
          <w:rFonts w:ascii="Tahoma" w:eastAsia="Times New Roman" w:hAnsi="Tahoma" w:cs="Tahoma"/>
          <w:bCs/>
          <w:sz w:val="20"/>
          <w:szCs w:val="20"/>
          <w:lang w:eastAsia="es-EC"/>
        </w:rPr>
        <w:t>Registrador de la Propiedad del cantón Cañar proceda a la inmediata inscripción de la sentencia de prescripción adquisitiva de dominio</w:t>
      </w:r>
      <w:r w:rsidR="00ED3C17" w:rsidRPr="00EA44E8">
        <w:rPr>
          <w:rFonts w:ascii="Tahoma" w:eastAsia="Times New Roman" w:hAnsi="Tahoma" w:cs="Tahoma"/>
          <w:sz w:val="20"/>
          <w:szCs w:val="20"/>
          <w:lang w:eastAsia="es-EC"/>
        </w:rPr>
        <w:t>, dictada dentro de la presente causa.</w:t>
      </w:r>
    </w:p>
    <w:p w:rsidR="00C95FCA" w:rsidRPr="00EA44E8" w:rsidRDefault="00C95FCA" w:rsidP="00ED3C17">
      <w:pPr>
        <w:spacing w:before="100" w:beforeAutospacing="1" w:after="100" w:afterAutospacing="1" w:line="240" w:lineRule="auto"/>
        <w:jc w:val="both"/>
        <w:rPr>
          <w:rFonts w:ascii="Tahoma" w:eastAsia="Times New Roman" w:hAnsi="Tahoma" w:cs="Tahoma"/>
          <w:b/>
          <w:sz w:val="20"/>
          <w:szCs w:val="20"/>
          <w:lang w:eastAsia="es-EC"/>
        </w:rPr>
      </w:pPr>
    </w:p>
    <w:p w:rsidR="00074E47" w:rsidRPr="00EA44E8" w:rsidRDefault="00C95FCA" w:rsidP="00ED3C17">
      <w:pPr>
        <w:jc w:val="both"/>
        <w:rPr>
          <w:rFonts w:ascii="Tahoma" w:eastAsia="Times New Roman" w:hAnsi="Tahoma" w:cs="Tahoma"/>
          <w:b/>
          <w:sz w:val="20"/>
          <w:szCs w:val="20"/>
          <w:lang w:eastAsia="es-EC"/>
        </w:rPr>
      </w:pPr>
      <w:r w:rsidRPr="00EA44E8">
        <w:rPr>
          <w:rFonts w:ascii="Tahoma" w:eastAsia="Times New Roman" w:hAnsi="Tahoma" w:cs="Tahoma"/>
          <w:b/>
          <w:sz w:val="20"/>
          <w:szCs w:val="20"/>
          <w:lang w:eastAsia="es-EC"/>
        </w:rPr>
        <w:t>Es justicia.</w:t>
      </w:r>
    </w:p>
    <w:p w:rsidR="00C95FCA" w:rsidRPr="00EA44E8" w:rsidRDefault="00C95FCA" w:rsidP="00ED3C17">
      <w:pPr>
        <w:jc w:val="both"/>
        <w:rPr>
          <w:rFonts w:ascii="Tahoma" w:hAnsi="Tahoma" w:cs="Tahoma"/>
          <w:b/>
          <w:sz w:val="20"/>
          <w:szCs w:val="20"/>
        </w:rPr>
      </w:pPr>
    </w:p>
    <w:p w:rsidR="00C95FCA" w:rsidRPr="00EA44E8" w:rsidRDefault="00C95FCA" w:rsidP="00ED3C17">
      <w:pPr>
        <w:jc w:val="both"/>
        <w:rPr>
          <w:rFonts w:ascii="Tahoma" w:hAnsi="Tahoma" w:cs="Tahoma"/>
          <w:b/>
          <w:sz w:val="20"/>
          <w:szCs w:val="20"/>
        </w:rPr>
      </w:pPr>
    </w:p>
    <w:p w:rsidR="00C95FCA" w:rsidRPr="00EA44E8" w:rsidRDefault="00C95FCA" w:rsidP="00ED3C17">
      <w:pPr>
        <w:jc w:val="both"/>
        <w:rPr>
          <w:rFonts w:ascii="Tahoma" w:hAnsi="Tahoma" w:cs="Tahoma"/>
          <w:b/>
          <w:sz w:val="20"/>
          <w:szCs w:val="20"/>
        </w:rPr>
      </w:pPr>
    </w:p>
    <w:p w:rsidR="00C95FCA" w:rsidRPr="00EA44E8" w:rsidRDefault="00C95FCA" w:rsidP="00ED3C17">
      <w:pPr>
        <w:jc w:val="both"/>
        <w:rPr>
          <w:rFonts w:ascii="Tahoma" w:hAnsi="Tahoma" w:cs="Tahoma"/>
          <w:b/>
          <w:sz w:val="20"/>
          <w:szCs w:val="20"/>
        </w:rPr>
      </w:pPr>
      <w:r w:rsidRPr="00EA44E8">
        <w:rPr>
          <w:rFonts w:ascii="Tahoma" w:hAnsi="Tahoma" w:cs="Tahoma"/>
          <w:b/>
          <w:sz w:val="20"/>
          <w:szCs w:val="20"/>
        </w:rPr>
        <w:t xml:space="preserve">Ab. </w:t>
      </w:r>
      <w:proofErr w:type="spellStart"/>
      <w:r w:rsidRPr="00EA44E8">
        <w:rPr>
          <w:rFonts w:ascii="Tahoma" w:hAnsi="Tahoma" w:cs="Tahoma"/>
          <w:b/>
          <w:sz w:val="20"/>
          <w:szCs w:val="20"/>
        </w:rPr>
        <w:t>Favian</w:t>
      </w:r>
      <w:proofErr w:type="spellEnd"/>
      <w:r w:rsidRPr="00EA44E8">
        <w:rPr>
          <w:rFonts w:ascii="Tahoma" w:hAnsi="Tahoma" w:cs="Tahoma"/>
          <w:b/>
          <w:sz w:val="20"/>
          <w:szCs w:val="20"/>
        </w:rPr>
        <w:t xml:space="preserve"> Lema Morocho.</w:t>
      </w:r>
    </w:p>
    <w:p w:rsidR="00C95FCA" w:rsidRPr="00EA44E8" w:rsidRDefault="00C95FCA" w:rsidP="00ED3C17">
      <w:pPr>
        <w:jc w:val="both"/>
        <w:rPr>
          <w:rFonts w:ascii="Tahoma" w:hAnsi="Tahoma" w:cs="Tahoma"/>
          <w:b/>
          <w:sz w:val="20"/>
          <w:szCs w:val="20"/>
        </w:rPr>
      </w:pPr>
      <w:r w:rsidRPr="00EA44E8">
        <w:rPr>
          <w:rFonts w:ascii="Tahoma" w:hAnsi="Tahoma" w:cs="Tahoma"/>
          <w:b/>
          <w:sz w:val="20"/>
          <w:szCs w:val="20"/>
        </w:rPr>
        <w:t>Mat. 03</w:t>
      </w:r>
      <w:r w:rsidR="00EA44E8">
        <w:rPr>
          <w:rFonts w:ascii="Tahoma" w:hAnsi="Tahoma" w:cs="Tahoma"/>
          <w:b/>
          <w:sz w:val="20"/>
          <w:szCs w:val="20"/>
        </w:rPr>
        <w:t>-2009-67</w:t>
      </w:r>
      <w:bookmarkStart w:id="0" w:name="_GoBack"/>
      <w:bookmarkEnd w:id="0"/>
    </w:p>
    <w:sectPr w:rsidR="00C95FCA" w:rsidRPr="00EA44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72FBC"/>
    <w:multiLevelType w:val="multilevel"/>
    <w:tmpl w:val="DA020700"/>
    <w:lvl w:ilvl="0">
      <w:start w:val="4"/>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1A1002FF"/>
    <w:multiLevelType w:val="multilevel"/>
    <w:tmpl w:val="5802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90456"/>
    <w:multiLevelType w:val="multilevel"/>
    <w:tmpl w:val="E85E22B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17"/>
    <w:rsid w:val="00074E47"/>
    <w:rsid w:val="00C95FCA"/>
    <w:rsid w:val="00EA44E8"/>
    <w:rsid w:val="00ED3C1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20B9"/>
  <w15:chartTrackingRefBased/>
  <w15:docId w15:val="{DCF23854-F319-443B-B99C-C2CFAD5B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ED3C17"/>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D3C17"/>
    <w:rPr>
      <w:rFonts w:ascii="Times New Roman" w:eastAsia="Times New Roman" w:hAnsi="Times New Roman" w:cs="Times New Roman"/>
      <w:b/>
      <w:bCs/>
      <w:sz w:val="27"/>
      <w:szCs w:val="27"/>
      <w:lang w:eastAsia="es-EC"/>
    </w:rPr>
  </w:style>
  <w:style w:type="character" w:styleId="Textoennegrita">
    <w:name w:val="Strong"/>
    <w:basedOn w:val="Fuentedeprrafopredeter"/>
    <w:uiPriority w:val="22"/>
    <w:qFormat/>
    <w:rsid w:val="00ED3C17"/>
    <w:rPr>
      <w:b/>
      <w:bCs/>
    </w:rPr>
  </w:style>
  <w:style w:type="paragraph" w:styleId="NormalWeb">
    <w:name w:val="Normal (Web)"/>
    <w:basedOn w:val="Normal"/>
    <w:uiPriority w:val="99"/>
    <w:semiHidden/>
    <w:unhideWhenUsed/>
    <w:rsid w:val="00ED3C17"/>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Prrafodelista">
    <w:name w:val="List Paragraph"/>
    <w:basedOn w:val="Normal"/>
    <w:uiPriority w:val="34"/>
    <w:qFormat/>
    <w:rsid w:val="00EA44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13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316</Words>
  <Characters>1741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1</cp:revision>
  <dcterms:created xsi:type="dcterms:W3CDTF">2025-12-19T14:41:00Z</dcterms:created>
  <dcterms:modified xsi:type="dcterms:W3CDTF">2025-12-19T15:02:00Z</dcterms:modified>
</cp:coreProperties>
</file>