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619A7" w14:textId="6E7C16D9" w:rsidR="00AC4E03" w:rsidRDefault="00000000" w:rsidP="005871E7">
      <w:pPr>
        <w:pStyle w:val="Title"/>
        <w:spacing w:line="360" w:lineRule="auto"/>
        <w:rPr>
          <w:rFonts w:ascii="Garamond" w:hAnsi="Garamond"/>
          <w:i/>
          <w:iCs/>
        </w:rPr>
      </w:pPr>
      <w:r w:rsidRPr="005871E7">
        <w:rPr>
          <w:rFonts w:ascii="Garamond" w:hAnsi="Garamond"/>
          <w:b/>
          <w:bCs/>
        </w:rPr>
        <w:t xml:space="preserve">MC SMC+VAS Baseline </w:t>
      </w:r>
      <w:r w:rsidR="005871E7">
        <w:rPr>
          <w:rFonts w:ascii="Garamond" w:hAnsi="Garamond"/>
          <w:b/>
          <w:bCs/>
        </w:rPr>
        <w:t>Report</w:t>
      </w:r>
      <w:r w:rsidRPr="005871E7">
        <w:rPr>
          <w:rFonts w:ascii="Garamond" w:hAnsi="Garamond"/>
        </w:rPr>
        <w:br/>
      </w:r>
      <w:r w:rsidRPr="005871E7">
        <w:rPr>
          <w:rFonts w:ascii="Garamond" w:hAnsi="Garamond"/>
          <w:i/>
          <w:iCs/>
        </w:rPr>
        <w:t>Bauchi State, Nigeria – 2025</w:t>
      </w:r>
    </w:p>
    <w:p w14:paraId="6C0FA701" w14:textId="77777777" w:rsidR="005871E7" w:rsidRDefault="005871E7" w:rsidP="005871E7">
      <w:pPr>
        <w:pStyle w:val="BodyText"/>
      </w:pPr>
    </w:p>
    <w:p w14:paraId="7F82E8EC" w14:textId="77777777" w:rsidR="005871E7" w:rsidRDefault="005871E7" w:rsidP="005871E7">
      <w:pPr>
        <w:pStyle w:val="BodyText"/>
      </w:pPr>
    </w:p>
    <w:p w14:paraId="038CC65B" w14:textId="77777777" w:rsidR="005871E7" w:rsidRDefault="005871E7" w:rsidP="005871E7">
      <w:pPr>
        <w:pStyle w:val="BodyText"/>
      </w:pPr>
    </w:p>
    <w:p w14:paraId="4B324FB6" w14:textId="77777777" w:rsidR="005871E7" w:rsidRDefault="005871E7" w:rsidP="005871E7">
      <w:pPr>
        <w:pStyle w:val="BodyText"/>
      </w:pPr>
    </w:p>
    <w:p w14:paraId="0FCF948C" w14:textId="77777777" w:rsidR="005871E7" w:rsidRDefault="005871E7" w:rsidP="005871E7">
      <w:pPr>
        <w:pStyle w:val="BodyText"/>
      </w:pPr>
    </w:p>
    <w:p w14:paraId="152EC523" w14:textId="77777777" w:rsidR="005871E7" w:rsidRPr="008612C5" w:rsidRDefault="005871E7" w:rsidP="005871E7">
      <w:pPr>
        <w:spacing w:after="173" w:line="265" w:lineRule="auto"/>
        <w:ind w:left="274" w:right="185"/>
        <w:jc w:val="center"/>
        <w:rPr>
          <w:rFonts w:ascii="Garamond" w:hAnsi="Garamond"/>
          <w:b/>
        </w:rPr>
      </w:pPr>
      <w:proofErr w:type="gramStart"/>
      <w:r w:rsidRPr="008612C5">
        <w:rPr>
          <w:rFonts w:ascii="Garamond" w:hAnsi="Garamond"/>
          <w:b/>
        </w:rPr>
        <w:t>By</w:t>
      </w:r>
      <w:proofErr w:type="gramEnd"/>
      <w:r w:rsidRPr="008612C5">
        <w:rPr>
          <w:rFonts w:ascii="Garamond" w:hAnsi="Garamond"/>
          <w:b/>
        </w:rPr>
        <w:t xml:space="preserve"> </w:t>
      </w:r>
    </w:p>
    <w:p w14:paraId="5CF20324" w14:textId="2F316650" w:rsidR="005871E7" w:rsidRPr="005871E7" w:rsidRDefault="005871E7" w:rsidP="005871E7">
      <w:pPr>
        <w:spacing w:after="173" w:line="265" w:lineRule="auto"/>
        <w:ind w:left="274" w:right="185"/>
        <w:jc w:val="center"/>
        <w:rPr>
          <w:rFonts w:ascii="Garamond" w:hAnsi="Garamond"/>
        </w:rPr>
      </w:pPr>
      <w:r w:rsidRPr="005871E7">
        <w:rPr>
          <w:rFonts w:ascii="Garamond" w:hAnsi="Garamond"/>
          <w:b/>
        </w:rPr>
        <w:t xml:space="preserve">SMC-VAS Program, Niger State </w:t>
      </w:r>
    </w:p>
    <w:p w14:paraId="607ECC4D" w14:textId="4B6F65CD" w:rsidR="005871E7" w:rsidRDefault="005871E7" w:rsidP="005871E7">
      <w:pPr>
        <w:pStyle w:val="BodyText"/>
      </w:pPr>
    </w:p>
    <w:p w14:paraId="0C2CC1A2" w14:textId="77777777" w:rsidR="005871E7" w:rsidRDefault="005871E7" w:rsidP="005871E7">
      <w:pPr>
        <w:pStyle w:val="BodyText"/>
      </w:pPr>
    </w:p>
    <w:p w14:paraId="0EAC1306" w14:textId="77777777" w:rsidR="005871E7" w:rsidRPr="005871E7" w:rsidRDefault="005871E7" w:rsidP="005871E7">
      <w:pPr>
        <w:pStyle w:val="BodyText"/>
      </w:pPr>
    </w:p>
    <w:p w14:paraId="3632E6E6" w14:textId="77777777" w:rsidR="00AC4E03" w:rsidRDefault="00000000" w:rsidP="005871E7">
      <w:pPr>
        <w:pStyle w:val="Author"/>
        <w:spacing w:line="360" w:lineRule="auto"/>
        <w:rPr>
          <w:rFonts w:ascii="Garamond" w:hAnsi="Garamond"/>
        </w:rPr>
      </w:pPr>
      <w:r w:rsidRPr="005871E7">
        <w:rPr>
          <w:rFonts w:ascii="Garamond" w:hAnsi="Garamond"/>
        </w:rPr>
        <w:t>Malaria Consortium</w:t>
      </w:r>
    </w:p>
    <w:p w14:paraId="33277996" w14:textId="77777777" w:rsidR="005871E7" w:rsidRDefault="005871E7" w:rsidP="005871E7">
      <w:pPr>
        <w:pStyle w:val="BodyText"/>
      </w:pPr>
    </w:p>
    <w:p w14:paraId="4BA5C8F2" w14:textId="77777777" w:rsidR="005871E7" w:rsidRPr="005871E7" w:rsidRDefault="005871E7" w:rsidP="005871E7">
      <w:pPr>
        <w:pStyle w:val="BodyText"/>
      </w:pPr>
    </w:p>
    <w:p w14:paraId="59D0C71E" w14:textId="77777777" w:rsidR="00AC4E03" w:rsidRDefault="00000000" w:rsidP="005871E7">
      <w:pPr>
        <w:pStyle w:val="Date"/>
        <w:spacing w:line="360" w:lineRule="auto"/>
        <w:rPr>
          <w:rFonts w:ascii="Garamond" w:hAnsi="Garamond"/>
        </w:rPr>
      </w:pPr>
      <w:r w:rsidRPr="005871E7">
        <w:rPr>
          <w:rFonts w:ascii="Garamond" w:hAnsi="Garamond"/>
        </w:rPr>
        <w:t>June 23, 2025</w:t>
      </w:r>
    </w:p>
    <w:p w14:paraId="2411FFF8" w14:textId="77777777" w:rsidR="005871E7" w:rsidRDefault="005871E7" w:rsidP="005871E7">
      <w:pPr>
        <w:pStyle w:val="BodyText"/>
      </w:pPr>
    </w:p>
    <w:p w14:paraId="40E7E1E6" w14:textId="77777777" w:rsidR="005871E7" w:rsidRDefault="005871E7" w:rsidP="005871E7">
      <w:pPr>
        <w:pStyle w:val="BodyText"/>
      </w:pPr>
    </w:p>
    <w:p w14:paraId="07A188D1" w14:textId="77777777" w:rsidR="005871E7" w:rsidRDefault="005871E7" w:rsidP="005871E7">
      <w:pPr>
        <w:pStyle w:val="BodyText"/>
      </w:pPr>
    </w:p>
    <w:p w14:paraId="38592E02" w14:textId="77777777" w:rsidR="005871E7" w:rsidRDefault="005871E7" w:rsidP="005871E7">
      <w:pPr>
        <w:pStyle w:val="BodyText"/>
      </w:pPr>
    </w:p>
    <w:p w14:paraId="46D69763" w14:textId="77777777" w:rsidR="005871E7" w:rsidRDefault="005871E7" w:rsidP="005871E7">
      <w:pPr>
        <w:pStyle w:val="BodyText"/>
      </w:pPr>
    </w:p>
    <w:p w14:paraId="43D8A1C5" w14:textId="77777777" w:rsidR="005871E7" w:rsidRDefault="005871E7" w:rsidP="005871E7">
      <w:pPr>
        <w:pStyle w:val="BodyText"/>
      </w:pPr>
    </w:p>
    <w:p w14:paraId="149FE9B3" w14:textId="77777777" w:rsidR="005871E7" w:rsidRDefault="005871E7" w:rsidP="005871E7">
      <w:pPr>
        <w:pStyle w:val="BodyText"/>
      </w:pPr>
    </w:p>
    <w:p w14:paraId="709EE6C1" w14:textId="77777777" w:rsidR="005871E7" w:rsidRDefault="005871E7" w:rsidP="005871E7">
      <w:pPr>
        <w:pStyle w:val="BodyText"/>
      </w:pPr>
    </w:p>
    <w:sdt>
      <w:sdtPr>
        <w:rPr>
          <w:rFonts w:ascii="Garamond" w:eastAsiaTheme="minorHAnsi" w:hAnsi="Garamond" w:cstheme="minorBidi"/>
          <w:color w:val="auto"/>
          <w:sz w:val="24"/>
          <w:szCs w:val="24"/>
        </w:rPr>
        <w:id w:val="-368150132"/>
        <w:docPartObj>
          <w:docPartGallery w:val="Table of Contents"/>
          <w:docPartUnique/>
        </w:docPartObj>
      </w:sdtPr>
      <w:sdtContent>
        <w:p w14:paraId="3973A144" w14:textId="77777777" w:rsidR="00AC4E03" w:rsidRPr="005871E7" w:rsidRDefault="00000000" w:rsidP="005871E7">
          <w:pPr>
            <w:pStyle w:val="TOCHeading"/>
            <w:spacing w:line="360" w:lineRule="auto"/>
            <w:jc w:val="both"/>
            <w:rPr>
              <w:rFonts w:ascii="Garamond" w:hAnsi="Garamond"/>
            </w:rPr>
          </w:pPr>
          <w:r w:rsidRPr="005871E7">
            <w:rPr>
              <w:rFonts w:ascii="Garamond" w:hAnsi="Garamond"/>
            </w:rPr>
            <w:t>Table of Contents</w:t>
          </w:r>
        </w:p>
        <w:p w14:paraId="0A13F58D" w14:textId="456EB2A6" w:rsidR="00F12867" w:rsidRPr="00F12867" w:rsidRDefault="00000000">
          <w:pPr>
            <w:pStyle w:val="TOC1"/>
            <w:tabs>
              <w:tab w:val="right" w:leader="dot" w:pos="9350"/>
            </w:tabs>
            <w:rPr>
              <w:rFonts w:eastAsiaTheme="minorEastAsia"/>
              <w:noProof/>
              <w:kern w:val="2"/>
              <w:lang w:val="en-GB" w:eastAsia="en-GB"/>
              <w14:ligatures w14:val="standardContextual"/>
            </w:rPr>
          </w:pPr>
          <w:r w:rsidRPr="00F12867">
            <w:rPr>
              <w:rFonts w:ascii="Garamond" w:hAnsi="Garamond"/>
            </w:rPr>
            <w:fldChar w:fldCharType="begin"/>
          </w:r>
          <w:r w:rsidRPr="00F12867">
            <w:rPr>
              <w:rFonts w:ascii="Garamond" w:hAnsi="Garamond"/>
            </w:rPr>
            <w:instrText>TOC \o "1-2" \h \z \u</w:instrText>
          </w:r>
          <w:r w:rsidRPr="00F12867">
            <w:rPr>
              <w:rFonts w:ascii="Garamond" w:hAnsi="Garamond"/>
            </w:rPr>
            <w:fldChar w:fldCharType="separate"/>
          </w:r>
          <w:hyperlink w:anchor="_Toc201650776" w:history="1">
            <w:r w:rsidR="00F12867" w:rsidRPr="00F12867">
              <w:rPr>
                <w:rStyle w:val="Hyperlink"/>
                <w:rFonts w:ascii="Garamond" w:hAnsi="Garamond"/>
                <w:noProof/>
              </w:rPr>
              <w:t>Introduction</w:t>
            </w:r>
            <w:r w:rsidR="00F12867" w:rsidRPr="00F12867">
              <w:rPr>
                <w:noProof/>
                <w:webHidden/>
              </w:rPr>
              <w:tab/>
            </w:r>
            <w:r w:rsidR="00F12867" w:rsidRPr="00F12867">
              <w:rPr>
                <w:noProof/>
                <w:webHidden/>
              </w:rPr>
              <w:fldChar w:fldCharType="begin"/>
            </w:r>
            <w:r w:rsidR="00F12867" w:rsidRPr="00F12867">
              <w:rPr>
                <w:noProof/>
                <w:webHidden/>
              </w:rPr>
              <w:instrText xml:space="preserve"> PAGEREF _Toc201650776 \h </w:instrText>
            </w:r>
            <w:r w:rsidR="00F12867" w:rsidRPr="00F12867">
              <w:rPr>
                <w:noProof/>
                <w:webHidden/>
              </w:rPr>
            </w:r>
            <w:r w:rsidR="00F12867" w:rsidRPr="00F12867">
              <w:rPr>
                <w:noProof/>
                <w:webHidden/>
              </w:rPr>
              <w:fldChar w:fldCharType="separate"/>
            </w:r>
            <w:r w:rsidR="00F12867" w:rsidRPr="00F12867">
              <w:rPr>
                <w:noProof/>
                <w:webHidden/>
              </w:rPr>
              <w:t>6</w:t>
            </w:r>
            <w:r w:rsidR="00F12867" w:rsidRPr="00F12867">
              <w:rPr>
                <w:noProof/>
                <w:webHidden/>
              </w:rPr>
              <w:fldChar w:fldCharType="end"/>
            </w:r>
          </w:hyperlink>
        </w:p>
        <w:p w14:paraId="3ABFDF5D" w14:textId="1DD06471"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77" w:history="1">
            <w:r w:rsidRPr="00F12867">
              <w:rPr>
                <w:rStyle w:val="Hyperlink"/>
                <w:rFonts w:ascii="Garamond" w:hAnsi="Garamond"/>
                <w:noProof/>
                <w:lang w:val="en-GB"/>
              </w:rPr>
              <w:t>1.1 Background on Malaria Consortium and Context</w:t>
            </w:r>
            <w:r w:rsidRPr="00F12867">
              <w:rPr>
                <w:noProof/>
                <w:webHidden/>
              </w:rPr>
              <w:tab/>
            </w:r>
            <w:r w:rsidRPr="00F12867">
              <w:rPr>
                <w:noProof/>
                <w:webHidden/>
              </w:rPr>
              <w:fldChar w:fldCharType="begin"/>
            </w:r>
            <w:r w:rsidRPr="00F12867">
              <w:rPr>
                <w:noProof/>
                <w:webHidden/>
              </w:rPr>
              <w:instrText xml:space="preserve"> PAGEREF _Toc201650777 \h </w:instrText>
            </w:r>
            <w:r w:rsidRPr="00F12867">
              <w:rPr>
                <w:noProof/>
                <w:webHidden/>
              </w:rPr>
            </w:r>
            <w:r w:rsidRPr="00F12867">
              <w:rPr>
                <w:noProof/>
                <w:webHidden/>
              </w:rPr>
              <w:fldChar w:fldCharType="separate"/>
            </w:r>
            <w:r w:rsidRPr="00F12867">
              <w:rPr>
                <w:noProof/>
                <w:webHidden/>
              </w:rPr>
              <w:t>6</w:t>
            </w:r>
            <w:r w:rsidRPr="00F12867">
              <w:rPr>
                <w:noProof/>
                <w:webHidden/>
              </w:rPr>
              <w:fldChar w:fldCharType="end"/>
            </w:r>
          </w:hyperlink>
        </w:p>
        <w:p w14:paraId="6DE8D503" w14:textId="3C09CC32"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78" w:history="1">
            <w:r w:rsidRPr="00F12867">
              <w:rPr>
                <w:rStyle w:val="Hyperlink"/>
                <w:rFonts w:ascii="Garamond" w:hAnsi="Garamond"/>
                <w:noProof/>
                <w:lang w:val="en-GB"/>
              </w:rPr>
              <w:t>1.2 National Guidelines and Coverage Gaps</w:t>
            </w:r>
            <w:r w:rsidRPr="00F12867">
              <w:rPr>
                <w:noProof/>
                <w:webHidden/>
              </w:rPr>
              <w:tab/>
            </w:r>
            <w:r w:rsidRPr="00F12867">
              <w:rPr>
                <w:noProof/>
                <w:webHidden/>
              </w:rPr>
              <w:fldChar w:fldCharType="begin"/>
            </w:r>
            <w:r w:rsidRPr="00F12867">
              <w:rPr>
                <w:noProof/>
                <w:webHidden/>
              </w:rPr>
              <w:instrText xml:space="preserve"> PAGEREF _Toc201650778 \h </w:instrText>
            </w:r>
            <w:r w:rsidRPr="00F12867">
              <w:rPr>
                <w:noProof/>
                <w:webHidden/>
              </w:rPr>
            </w:r>
            <w:r w:rsidRPr="00F12867">
              <w:rPr>
                <w:noProof/>
                <w:webHidden/>
              </w:rPr>
              <w:fldChar w:fldCharType="separate"/>
            </w:r>
            <w:r w:rsidRPr="00F12867">
              <w:rPr>
                <w:noProof/>
                <w:webHidden/>
              </w:rPr>
              <w:t>7</w:t>
            </w:r>
            <w:r w:rsidRPr="00F12867">
              <w:rPr>
                <w:noProof/>
                <w:webHidden/>
              </w:rPr>
              <w:fldChar w:fldCharType="end"/>
            </w:r>
          </w:hyperlink>
        </w:p>
        <w:p w14:paraId="1840D951" w14:textId="07B77418"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79" w:history="1">
            <w:r w:rsidRPr="00F12867">
              <w:rPr>
                <w:rStyle w:val="Hyperlink"/>
                <w:rFonts w:ascii="Garamond" w:hAnsi="Garamond"/>
                <w:noProof/>
                <w:lang w:val="en-GB"/>
              </w:rPr>
              <w:t>1.3 Rationale for Integrating VAS into SMC</w:t>
            </w:r>
            <w:r w:rsidRPr="00F12867">
              <w:rPr>
                <w:noProof/>
                <w:webHidden/>
              </w:rPr>
              <w:tab/>
            </w:r>
            <w:r w:rsidRPr="00F12867">
              <w:rPr>
                <w:noProof/>
                <w:webHidden/>
              </w:rPr>
              <w:fldChar w:fldCharType="begin"/>
            </w:r>
            <w:r w:rsidRPr="00F12867">
              <w:rPr>
                <w:noProof/>
                <w:webHidden/>
              </w:rPr>
              <w:instrText xml:space="preserve"> PAGEREF _Toc201650779 \h </w:instrText>
            </w:r>
            <w:r w:rsidRPr="00F12867">
              <w:rPr>
                <w:noProof/>
                <w:webHidden/>
              </w:rPr>
            </w:r>
            <w:r w:rsidRPr="00F12867">
              <w:rPr>
                <w:noProof/>
                <w:webHidden/>
              </w:rPr>
              <w:fldChar w:fldCharType="separate"/>
            </w:r>
            <w:r w:rsidRPr="00F12867">
              <w:rPr>
                <w:noProof/>
                <w:webHidden/>
              </w:rPr>
              <w:t>7</w:t>
            </w:r>
            <w:r w:rsidRPr="00F12867">
              <w:rPr>
                <w:noProof/>
                <w:webHidden/>
              </w:rPr>
              <w:fldChar w:fldCharType="end"/>
            </w:r>
          </w:hyperlink>
        </w:p>
        <w:p w14:paraId="0ADDAA68" w14:textId="66C801E7"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80" w:history="1">
            <w:r w:rsidRPr="00F12867">
              <w:rPr>
                <w:rStyle w:val="Hyperlink"/>
                <w:rFonts w:ascii="Garamond" w:hAnsi="Garamond"/>
                <w:noProof/>
                <w:lang w:val="en-GB"/>
              </w:rPr>
              <w:t>1.4 Description of the Integrated Campaign Strategy</w:t>
            </w:r>
            <w:r w:rsidRPr="00F12867">
              <w:rPr>
                <w:noProof/>
                <w:webHidden/>
              </w:rPr>
              <w:tab/>
            </w:r>
            <w:r w:rsidRPr="00F12867">
              <w:rPr>
                <w:noProof/>
                <w:webHidden/>
              </w:rPr>
              <w:fldChar w:fldCharType="begin"/>
            </w:r>
            <w:r w:rsidRPr="00F12867">
              <w:rPr>
                <w:noProof/>
                <w:webHidden/>
              </w:rPr>
              <w:instrText xml:space="preserve"> PAGEREF _Toc201650780 \h </w:instrText>
            </w:r>
            <w:r w:rsidRPr="00F12867">
              <w:rPr>
                <w:noProof/>
                <w:webHidden/>
              </w:rPr>
            </w:r>
            <w:r w:rsidRPr="00F12867">
              <w:rPr>
                <w:noProof/>
                <w:webHidden/>
              </w:rPr>
              <w:fldChar w:fldCharType="separate"/>
            </w:r>
            <w:r w:rsidRPr="00F12867">
              <w:rPr>
                <w:noProof/>
                <w:webHidden/>
              </w:rPr>
              <w:t>8</w:t>
            </w:r>
            <w:r w:rsidRPr="00F12867">
              <w:rPr>
                <w:noProof/>
                <w:webHidden/>
              </w:rPr>
              <w:fldChar w:fldCharType="end"/>
            </w:r>
          </w:hyperlink>
        </w:p>
        <w:p w14:paraId="74DF112C" w14:textId="25E87956" w:rsidR="00F12867" w:rsidRPr="00F12867" w:rsidRDefault="00F12867">
          <w:pPr>
            <w:pStyle w:val="TOC1"/>
            <w:tabs>
              <w:tab w:val="right" w:leader="dot" w:pos="9350"/>
            </w:tabs>
            <w:rPr>
              <w:rFonts w:eastAsiaTheme="minorEastAsia"/>
              <w:noProof/>
              <w:kern w:val="2"/>
              <w:lang w:val="en-GB" w:eastAsia="en-GB"/>
              <w14:ligatures w14:val="standardContextual"/>
            </w:rPr>
          </w:pPr>
          <w:hyperlink w:anchor="_Toc201650781" w:history="1">
            <w:r w:rsidRPr="00F12867">
              <w:rPr>
                <w:rStyle w:val="Hyperlink"/>
                <w:rFonts w:ascii="Garamond" w:hAnsi="Garamond"/>
                <w:noProof/>
                <w:lang w:val="en-GB"/>
              </w:rPr>
              <w:t>3. Study Objectives</w:t>
            </w:r>
            <w:r w:rsidRPr="00F12867">
              <w:rPr>
                <w:noProof/>
                <w:webHidden/>
              </w:rPr>
              <w:tab/>
            </w:r>
            <w:r w:rsidRPr="00F12867">
              <w:rPr>
                <w:noProof/>
                <w:webHidden/>
              </w:rPr>
              <w:fldChar w:fldCharType="begin"/>
            </w:r>
            <w:r w:rsidRPr="00F12867">
              <w:rPr>
                <w:noProof/>
                <w:webHidden/>
              </w:rPr>
              <w:instrText xml:space="preserve"> PAGEREF _Toc201650781 \h </w:instrText>
            </w:r>
            <w:r w:rsidRPr="00F12867">
              <w:rPr>
                <w:noProof/>
                <w:webHidden/>
              </w:rPr>
            </w:r>
            <w:r w:rsidRPr="00F12867">
              <w:rPr>
                <w:noProof/>
                <w:webHidden/>
              </w:rPr>
              <w:fldChar w:fldCharType="separate"/>
            </w:r>
            <w:r w:rsidRPr="00F12867">
              <w:rPr>
                <w:noProof/>
                <w:webHidden/>
              </w:rPr>
              <w:t>8</w:t>
            </w:r>
            <w:r w:rsidRPr="00F12867">
              <w:rPr>
                <w:noProof/>
                <w:webHidden/>
              </w:rPr>
              <w:fldChar w:fldCharType="end"/>
            </w:r>
          </w:hyperlink>
        </w:p>
        <w:p w14:paraId="2CA2CA6F" w14:textId="6C295CCA"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82" w:history="1">
            <w:r w:rsidRPr="00F12867">
              <w:rPr>
                <w:rStyle w:val="Hyperlink"/>
                <w:rFonts w:ascii="Garamond" w:hAnsi="Garamond"/>
                <w:noProof/>
                <w:lang w:val="en-GB"/>
              </w:rPr>
              <w:t>3.1. Aim of the Study</w:t>
            </w:r>
            <w:r w:rsidRPr="00F12867">
              <w:rPr>
                <w:noProof/>
                <w:webHidden/>
              </w:rPr>
              <w:tab/>
            </w:r>
            <w:r w:rsidRPr="00F12867">
              <w:rPr>
                <w:noProof/>
                <w:webHidden/>
              </w:rPr>
              <w:fldChar w:fldCharType="begin"/>
            </w:r>
            <w:r w:rsidRPr="00F12867">
              <w:rPr>
                <w:noProof/>
                <w:webHidden/>
              </w:rPr>
              <w:instrText xml:space="preserve"> PAGEREF _Toc201650782 \h </w:instrText>
            </w:r>
            <w:r w:rsidRPr="00F12867">
              <w:rPr>
                <w:noProof/>
                <w:webHidden/>
              </w:rPr>
            </w:r>
            <w:r w:rsidRPr="00F12867">
              <w:rPr>
                <w:noProof/>
                <w:webHidden/>
              </w:rPr>
              <w:fldChar w:fldCharType="separate"/>
            </w:r>
            <w:r w:rsidRPr="00F12867">
              <w:rPr>
                <w:noProof/>
                <w:webHidden/>
              </w:rPr>
              <w:t>8</w:t>
            </w:r>
            <w:r w:rsidRPr="00F12867">
              <w:rPr>
                <w:noProof/>
                <w:webHidden/>
              </w:rPr>
              <w:fldChar w:fldCharType="end"/>
            </w:r>
          </w:hyperlink>
        </w:p>
        <w:p w14:paraId="7C3CCB21" w14:textId="7C0F00CF"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83" w:history="1">
            <w:r w:rsidRPr="00F12867">
              <w:rPr>
                <w:rStyle w:val="Hyperlink"/>
                <w:rFonts w:ascii="Garamond" w:hAnsi="Garamond"/>
                <w:noProof/>
                <w:lang w:val="en-GB"/>
              </w:rPr>
              <w:t>3.2. Specific Objectives</w:t>
            </w:r>
            <w:r w:rsidRPr="00F12867">
              <w:rPr>
                <w:noProof/>
                <w:webHidden/>
              </w:rPr>
              <w:tab/>
            </w:r>
            <w:r w:rsidRPr="00F12867">
              <w:rPr>
                <w:noProof/>
                <w:webHidden/>
              </w:rPr>
              <w:fldChar w:fldCharType="begin"/>
            </w:r>
            <w:r w:rsidRPr="00F12867">
              <w:rPr>
                <w:noProof/>
                <w:webHidden/>
              </w:rPr>
              <w:instrText xml:space="preserve"> PAGEREF _Toc201650783 \h </w:instrText>
            </w:r>
            <w:r w:rsidRPr="00F12867">
              <w:rPr>
                <w:noProof/>
                <w:webHidden/>
              </w:rPr>
            </w:r>
            <w:r w:rsidRPr="00F12867">
              <w:rPr>
                <w:noProof/>
                <w:webHidden/>
              </w:rPr>
              <w:fldChar w:fldCharType="separate"/>
            </w:r>
            <w:r w:rsidRPr="00F12867">
              <w:rPr>
                <w:noProof/>
                <w:webHidden/>
              </w:rPr>
              <w:t>9</w:t>
            </w:r>
            <w:r w:rsidRPr="00F12867">
              <w:rPr>
                <w:noProof/>
                <w:webHidden/>
              </w:rPr>
              <w:fldChar w:fldCharType="end"/>
            </w:r>
          </w:hyperlink>
        </w:p>
        <w:p w14:paraId="4349A3C7" w14:textId="7DDB6F5F"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84" w:history="1">
            <w:r w:rsidRPr="00F12867">
              <w:rPr>
                <w:rStyle w:val="Hyperlink"/>
                <w:rFonts w:ascii="Garamond" w:hAnsi="Garamond"/>
                <w:noProof/>
                <w:lang w:val="en-GB"/>
              </w:rPr>
              <w:t>3.3. Research Questions</w:t>
            </w:r>
            <w:r w:rsidRPr="00F12867">
              <w:rPr>
                <w:noProof/>
                <w:webHidden/>
              </w:rPr>
              <w:tab/>
            </w:r>
            <w:r w:rsidRPr="00F12867">
              <w:rPr>
                <w:noProof/>
                <w:webHidden/>
              </w:rPr>
              <w:fldChar w:fldCharType="begin"/>
            </w:r>
            <w:r w:rsidRPr="00F12867">
              <w:rPr>
                <w:noProof/>
                <w:webHidden/>
              </w:rPr>
              <w:instrText xml:space="preserve"> PAGEREF _Toc201650784 \h </w:instrText>
            </w:r>
            <w:r w:rsidRPr="00F12867">
              <w:rPr>
                <w:noProof/>
                <w:webHidden/>
              </w:rPr>
            </w:r>
            <w:r w:rsidRPr="00F12867">
              <w:rPr>
                <w:noProof/>
                <w:webHidden/>
              </w:rPr>
              <w:fldChar w:fldCharType="separate"/>
            </w:r>
            <w:r w:rsidRPr="00F12867">
              <w:rPr>
                <w:noProof/>
                <w:webHidden/>
              </w:rPr>
              <w:t>9</w:t>
            </w:r>
            <w:r w:rsidRPr="00F12867">
              <w:rPr>
                <w:noProof/>
                <w:webHidden/>
              </w:rPr>
              <w:fldChar w:fldCharType="end"/>
            </w:r>
          </w:hyperlink>
        </w:p>
        <w:p w14:paraId="7B1CED9E" w14:textId="20A86306"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85" w:history="1">
            <w:r w:rsidRPr="00F12867">
              <w:rPr>
                <w:rStyle w:val="Hyperlink"/>
                <w:rFonts w:ascii="Garamond" w:hAnsi="Garamond"/>
                <w:noProof/>
                <w:lang w:val="en-GB"/>
              </w:rPr>
              <w:t>3.4. Significance of the Study</w:t>
            </w:r>
            <w:r w:rsidRPr="00F12867">
              <w:rPr>
                <w:noProof/>
                <w:webHidden/>
              </w:rPr>
              <w:tab/>
            </w:r>
            <w:r w:rsidRPr="00F12867">
              <w:rPr>
                <w:noProof/>
                <w:webHidden/>
              </w:rPr>
              <w:fldChar w:fldCharType="begin"/>
            </w:r>
            <w:r w:rsidRPr="00F12867">
              <w:rPr>
                <w:noProof/>
                <w:webHidden/>
              </w:rPr>
              <w:instrText xml:space="preserve"> PAGEREF _Toc201650785 \h </w:instrText>
            </w:r>
            <w:r w:rsidRPr="00F12867">
              <w:rPr>
                <w:noProof/>
                <w:webHidden/>
              </w:rPr>
            </w:r>
            <w:r w:rsidRPr="00F12867">
              <w:rPr>
                <w:noProof/>
                <w:webHidden/>
              </w:rPr>
              <w:fldChar w:fldCharType="separate"/>
            </w:r>
            <w:r w:rsidRPr="00F12867">
              <w:rPr>
                <w:noProof/>
                <w:webHidden/>
              </w:rPr>
              <w:t>10</w:t>
            </w:r>
            <w:r w:rsidRPr="00F12867">
              <w:rPr>
                <w:noProof/>
                <w:webHidden/>
              </w:rPr>
              <w:fldChar w:fldCharType="end"/>
            </w:r>
          </w:hyperlink>
        </w:p>
        <w:p w14:paraId="1FD4CEEC" w14:textId="467DEA2D" w:rsidR="00F12867" w:rsidRPr="00F12867" w:rsidRDefault="00F12867">
          <w:pPr>
            <w:pStyle w:val="TOC1"/>
            <w:tabs>
              <w:tab w:val="right" w:leader="dot" w:pos="9350"/>
            </w:tabs>
            <w:rPr>
              <w:rFonts w:eastAsiaTheme="minorEastAsia"/>
              <w:noProof/>
              <w:kern w:val="2"/>
              <w:lang w:val="en-GB" w:eastAsia="en-GB"/>
              <w14:ligatures w14:val="standardContextual"/>
            </w:rPr>
          </w:pPr>
          <w:hyperlink w:anchor="_Toc201650786" w:history="1">
            <w:r w:rsidRPr="00F12867">
              <w:rPr>
                <w:rStyle w:val="Hyperlink"/>
                <w:rFonts w:ascii="Garamond" w:hAnsi="Garamond"/>
                <w:noProof/>
                <w:lang w:val="en-GB"/>
              </w:rPr>
              <w:t>4. Methodology</w:t>
            </w:r>
            <w:r w:rsidRPr="00F12867">
              <w:rPr>
                <w:noProof/>
                <w:webHidden/>
              </w:rPr>
              <w:tab/>
            </w:r>
            <w:r w:rsidRPr="00F12867">
              <w:rPr>
                <w:noProof/>
                <w:webHidden/>
              </w:rPr>
              <w:fldChar w:fldCharType="begin"/>
            </w:r>
            <w:r w:rsidRPr="00F12867">
              <w:rPr>
                <w:noProof/>
                <w:webHidden/>
              </w:rPr>
              <w:instrText xml:space="preserve"> PAGEREF _Toc201650786 \h </w:instrText>
            </w:r>
            <w:r w:rsidRPr="00F12867">
              <w:rPr>
                <w:noProof/>
                <w:webHidden/>
              </w:rPr>
            </w:r>
            <w:r w:rsidRPr="00F12867">
              <w:rPr>
                <w:noProof/>
                <w:webHidden/>
              </w:rPr>
              <w:fldChar w:fldCharType="separate"/>
            </w:r>
            <w:r w:rsidRPr="00F12867">
              <w:rPr>
                <w:noProof/>
                <w:webHidden/>
              </w:rPr>
              <w:t>10</w:t>
            </w:r>
            <w:r w:rsidRPr="00F12867">
              <w:rPr>
                <w:noProof/>
                <w:webHidden/>
              </w:rPr>
              <w:fldChar w:fldCharType="end"/>
            </w:r>
          </w:hyperlink>
        </w:p>
        <w:p w14:paraId="4212E569" w14:textId="3FB425D9"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87" w:history="1">
            <w:r w:rsidRPr="00F12867">
              <w:rPr>
                <w:rStyle w:val="Hyperlink"/>
                <w:rFonts w:ascii="Garamond" w:hAnsi="Garamond"/>
                <w:noProof/>
                <w:lang w:val="en-GB"/>
              </w:rPr>
              <w:t>4.1. Study Design</w:t>
            </w:r>
            <w:r w:rsidRPr="00F12867">
              <w:rPr>
                <w:noProof/>
                <w:webHidden/>
              </w:rPr>
              <w:tab/>
            </w:r>
            <w:r w:rsidRPr="00F12867">
              <w:rPr>
                <w:noProof/>
                <w:webHidden/>
              </w:rPr>
              <w:fldChar w:fldCharType="begin"/>
            </w:r>
            <w:r w:rsidRPr="00F12867">
              <w:rPr>
                <w:noProof/>
                <w:webHidden/>
              </w:rPr>
              <w:instrText xml:space="preserve"> PAGEREF _Toc201650787 \h </w:instrText>
            </w:r>
            <w:r w:rsidRPr="00F12867">
              <w:rPr>
                <w:noProof/>
                <w:webHidden/>
              </w:rPr>
            </w:r>
            <w:r w:rsidRPr="00F12867">
              <w:rPr>
                <w:noProof/>
                <w:webHidden/>
              </w:rPr>
              <w:fldChar w:fldCharType="separate"/>
            </w:r>
            <w:r w:rsidRPr="00F12867">
              <w:rPr>
                <w:noProof/>
                <w:webHidden/>
              </w:rPr>
              <w:t>10</w:t>
            </w:r>
            <w:r w:rsidRPr="00F12867">
              <w:rPr>
                <w:noProof/>
                <w:webHidden/>
              </w:rPr>
              <w:fldChar w:fldCharType="end"/>
            </w:r>
          </w:hyperlink>
        </w:p>
        <w:p w14:paraId="69F7D764" w14:textId="5723B677"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88" w:history="1">
            <w:r w:rsidRPr="00F12867">
              <w:rPr>
                <w:rStyle w:val="Hyperlink"/>
                <w:rFonts w:ascii="Garamond" w:hAnsi="Garamond"/>
                <w:noProof/>
                <w:lang w:val="en-GB"/>
              </w:rPr>
              <w:t>4.2. Sampling Strategy</w:t>
            </w:r>
            <w:r w:rsidRPr="00F12867">
              <w:rPr>
                <w:noProof/>
                <w:webHidden/>
              </w:rPr>
              <w:tab/>
            </w:r>
            <w:r w:rsidRPr="00F12867">
              <w:rPr>
                <w:noProof/>
                <w:webHidden/>
              </w:rPr>
              <w:fldChar w:fldCharType="begin"/>
            </w:r>
            <w:r w:rsidRPr="00F12867">
              <w:rPr>
                <w:noProof/>
                <w:webHidden/>
              </w:rPr>
              <w:instrText xml:space="preserve"> PAGEREF _Toc201650788 \h </w:instrText>
            </w:r>
            <w:r w:rsidRPr="00F12867">
              <w:rPr>
                <w:noProof/>
                <w:webHidden/>
              </w:rPr>
            </w:r>
            <w:r w:rsidRPr="00F12867">
              <w:rPr>
                <w:noProof/>
                <w:webHidden/>
              </w:rPr>
              <w:fldChar w:fldCharType="separate"/>
            </w:r>
            <w:r w:rsidRPr="00F12867">
              <w:rPr>
                <w:noProof/>
                <w:webHidden/>
              </w:rPr>
              <w:t>11</w:t>
            </w:r>
            <w:r w:rsidRPr="00F12867">
              <w:rPr>
                <w:noProof/>
                <w:webHidden/>
              </w:rPr>
              <w:fldChar w:fldCharType="end"/>
            </w:r>
          </w:hyperlink>
        </w:p>
        <w:p w14:paraId="640F06E5" w14:textId="14778A25"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89" w:history="1">
            <w:r w:rsidRPr="00F12867">
              <w:rPr>
                <w:rStyle w:val="Hyperlink"/>
                <w:rFonts w:ascii="Garamond" w:hAnsi="Garamond"/>
                <w:noProof/>
                <w:lang w:val="en-GB"/>
              </w:rPr>
              <w:t>4.3. Data Collection Procedures</w:t>
            </w:r>
            <w:r w:rsidRPr="00F12867">
              <w:rPr>
                <w:noProof/>
                <w:webHidden/>
              </w:rPr>
              <w:tab/>
            </w:r>
            <w:r w:rsidRPr="00F12867">
              <w:rPr>
                <w:noProof/>
                <w:webHidden/>
              </w:rPr>
              <w:fldChar w:fldCharType="begin"/>
            </w:r>
            <w:r w:rsidRPr="00F12867">
              <w:rPr>
                <w:noProof/>
                <w:webHidden/>
              </w:rPr>
              <w:instrText xml:space="preserve"> PAGEREF _Toc201650789 \h </w:instrText>
            </w:r>
            <w:r w:rsidRPr="00F12867">
              <w:rPr>
                <w:noProof/>
                <w:webHidden/>
              </w:rPr>
            </w:r>
            <w:r w:rsidRPr="00F12867">
              <w:rPr>
                <w:noProof/>
                <w:webHidden/>
              </w:rPr>
              <w:fldChar w:fldCharType="separate"/>
            </w:r>
            <w:r w:rsidRPr="00F12867">
              <w:rPr>
                <w:noProof/>
                <w:webHidden/>
              </w:rPr>
              <w:t>11</w:t>
            </w:r>
            <w:r w:rsidRPr="00F12867">
              <w:rPr>
                <w:noProof/>
                <w:webHidden/>
              </w:rPr>
              <w:fldChar w:fldCharType="end"/>
            </w:r>
          </w:hyperlink>
        </w:p>
        <w:p w14:paraId="2F886ACA" w14:textId="72F4F8AC"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90" w:history="1">
            <w:r w:rsidRPr="00F12867">
              <w:rPr>
                <w:rStyle w:val="Hyperlink"/>
                <w:rFonts w:ascii="Garamond" w:hAnsi="Garamond"/>
                <w:noProof/>
                <w:lang w:val="en-GB"/>
              </w:rPr>
              <w:t>4.4. Analytical Methods</w:t>
            </w:r>
            <w:r w:rsidRPr="00F12867">
              <w:rPr>
                <w:noProof/>
                <w:webHidden/>
              </w:rPr>
              <w:tab/>
            </w:r>
            <w:r w:rsidRPr="00F12867">
              <w:rPr>
                <w:noProof/>
                <w:webHidden/>
              </w:rPr>
              <w:fldChar w:fldCharType="begin"/>
            </w:r>
            <w:r w:rsidRPr="00F12867">
              <w:rPr>
                <w:noProof/>
                <w:webHidden/>
              </w:rPr>
              <w:instrText xml:space="preserve"> PAGEREF _Toc201650790 \h </w:instrText>
            </w:r>
            <w:r w:rsidRPr="00F12867">
              <w:rPr>
                <w:noProof/>
                <w:webHidden/>
              </w:rPr>
            </w:r>
            <w:r w:rsidRPr="00F12867">
              <w:rPr>
                <w:noProof/>
                <w:webHidden/>
              </w:rPr>
              <w:fldChar w:fldCharType="separate"/>
            </w:r>
            <w:r w:rsidRPr="00F12867">
              <w:rPr>
                <w:noProof/>
                <w:webHidden/>
              </w:rPr>
              <w:t>12</w:t>
            </w:r>
            <w:r w:rsidRPr="00F12867">
              <w:rPr>
                <w:noProof/>
                <w:webHidden/>
              </w:rPr>
              <w:fldChar w:fldCharType="end"/>
            </w:r>
          </w:hyperlink>
        </w:p>
        <w:p w14:paraId="1F759AEE" w14:textId="5DFBE419"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91" w:history="1">
            <w:r w:rsidRPr="00F12867">
              <w:rPr>
                <w:rStyle w:val="Hyperlink"/>
                <w:rFonts w:ascii="Garamond" w:hAnsi="Garamond"/>
                <w:noProof/>
                <w:lang w:val="en-GB"/>
              </w:rPr>
              <w:t>4.5. Ethical Considerations</w:t>
            </w:r>
            <w:r w:rsidRPr="00F12867">
              <w:rPr>
                <w:noProof/>
                <w:webHidden/>
              </w:rPr>
              <w:tab/>
            </w:r>
            <w:r w:rsidRPr="00F12867">
              <w:rPr>
                <w:noProof/>
                <w:webHidden/>
              </w:rPr>
              <w:fldChar w:fldCharType="begin"/>
            </w:r>
            <w:r w:rsidRPr="00F12867">
              <w:rPr>
                <w:noProof/>
                <w:webHidden/>
              </w:rPr>
              <w:instrText xml:space="preserve"> PAGEREF _Toc201650791 \h </w:instrText>
            </w:r>
            <w:r w:rsidRPr="00F12867">
              <w:rPr>
                <w:noProof/>
                <w:webHidden/>
              </w:rPr>
            </w:r>
            <w:r w:rsidRPr="00F12867">
              <w:rPr>
                <w:noProof/>
                <w:webHidden/>
              </w:rPr>
              <w:fldChar w:fldCharType="separate"/>
            </w:r>
            <w:r w:rsidRPr="00F12867">
              <w:rPr>
                <w:noProof/>
                <w:webHidden/>
              </w:rPr>
              <w:t>12</w:t>
            </w:r>
            <w:r w:rsidRPr="00F12867">
              <w:rPr>
                <w:noProof/>
                <w:webHidden/>
              </w:rPr>
              <w:fldChar w:fldCharType="end"/>
            </w:r>
          </w:hyperlink>
        </w:p>
        <w:p w14:paraId="7DC5643D" w14:textId="47A76B76"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92" w:history="1">
            <w:r w:rsidRPr="00F12867">
              <w:rPr>
                <w:rStyle w:val="Hyperlink"/>
                <w:rFonts w:ascii="Garamond" w:hAnsi="Garamond"/>
                <w:noProof/>
              </w:rPr>
              <w:t>4.5.1. Ethical Approval</w:t>
            </w:r>
            <w:r w:rsidRPr="00F12867">
              <w:rPr>
                <w:noProof/>
                <w:webHidden/>
              </w:rPr>
              <w:tab/>
            </w:r>
            <w:r w:rsidRPr="00F12867">
              <w:rPr>
                <w:noProof/>
                <w:webHidden/>
              </w:rPr>
              <w:fldChar w:fldCharType="begin"/>
            </w:r>
            <w:r w:rsidRPr="00F12867">
              <w:rPr>
                <w:noProof/>
                <w:webHidden/>
              </w:rPr>
              <w:instrText xml:space="preserve"> PAGEREF _Toc201650792 \h </w:instrText>
            </w:r>
            <w:r w:rsidRPr="00F12867">
              <w:rPr>
                <w:noProof/>
                <w:webHidden/>
              </w:rPr>
            </w:r>
            <w:r w:rsidRPr="00F12867">
              <w:rPr>
                <w:noProof/>
                <w:webHidden/>
              </w:rPr>
              <w:fldChar w:fldCharType="separate"/>
            </w:r>
            <w:r w:rsidRPr="00F12867">
              <w:rPr>
                <w:noProof/>
                <w:webHidden/>
              </w:rPr>
              <w:t>13</w:t>
            </w:r>
            <w:r w:rsidRPr="00F12867">
              <w:rPr>
                <w:noProof/>
                <w:webHidden/>
              </w:rPr>
              <w:fldChar w:fldCharType="end"/>
            </w:r>
          </w:hyperlink>
        </w:p>
        <w:p w14:paraId="18A378D1" w14:textId="317F1E4B"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93" w:history="1">
            <w:r w:rsidRPr="00F12867">
              <w:rPr>
                <w:rStyle w:val="Hyperlink"/>
                <w:rFonts w:ascii="Garamond" w:hAnsi="Garamond"/>
                <w:noProof/>
                <w:lang w:val="en-GB"/>
              </w:rPr>
              <w:t>4.6. Study Limitations</w:t>
            </w:r>
            <w:r w:rsidRPr="00F12867">
              <w:rPr>
                <w:noProof/>
                <w:webHidden/>
              </w:rPr>
              <w:tab/>
            </w:r>
            <w:r w:rsidRPr="00F12867">
              <w:rPr>
                <w:noProof/>
                <w:webHidden/>
              </w:rPr>
              <w:fldChar w:fldCharType="begin"/>
            </w:r>
            <w:r w:rsidRPr="00F12867">
              <w:rPr>
                <w:noProof/>
                <w:webHidden/>
              </w:rPr>
              <w:instrText xml:space="preserve"> PAGEREF _Toc201650793 \h </w:instrText>
            </w:r>
            <w:r w:rsidRPr="00F12867">
              <w:rPr>
                <w:noProof/>
                <w:webHidden/>
              </w:rPr>
            </w:r>
            <w:r w:rsidRPr="00F12867">
              <w:rPr>
                <w:noProof/>
                <w:webHidden/>
              </w:rPr>
              <w:fldChar w:fldCharType="separate"/>
            </w:r>
            <w:r w:rsidRPr="00F12867">
              <w:rPr>
                <w:noProof/>
                <w:webHidden/>
              </w:rPr>
              <w:t>13</w:t>
            </w:r>
            <w:r w:rsidRPr="00F12867">
              <w:rPr>
                <w:noProof/>
                <w:webHidden/>
              </w:rPr>
              <w:fldChar w:fldCharType="end"/>
            </w:r>
          </w:hyperlink>
        </w:p>
        <w:p w14:paraId="525E98C1" w14:textId="1DF58941" w:rsidR="00F12867" w:rsidRPr="00F12867" w:rsidRDefault="00F12867">
          <w:pPr>
            <w:pStyle w:val="TOC1"/>
            <w:tabs>
              <w:tab w:val="right" w:leader="dot" w:pos="9350"/>
            </w:tabs>
            <w:rPr>
              <w:rFonts w:eastAsiaTheme="minorEastAsia"/>
              <w:noProof/>
              <w:kern w:val="2"/>
              <w:lang w:val="en-GB" w:eastAsia="en-GB"/>
              <w14:ligatures w14:val="standardContextual"/>
            </w:rPr>
          </w:pPr>
          <w:hyperlink w:anchor="_Toc201650794" w:history="1">
            <w:r w:rsidRPr="00F12867">
              <w:rPr>
                <w:rStyle w:val="Hyperlink"/>
                <w:rFonts w:ascii="Garamond" w:hAnsi="Garamond"/>
                <w:noProof/>
                <w:lang w:val="en-GB"/>
              </w:rPr>
              <w:t>5. Results</w:t>
            </w:r>
            <w:r w:rsidRPr="00F12867">
              <w:rPr>
                <w:noProof/>
                <w:webHidden/>
              </w:rPr>
              <w:tab/>
            </w:r>
            <w:r w:rsidRPr="00F12867">
              <w:rPr>
                <w:noProof/>
                <w:webHidden/>
              </w:rPr>
              <w:fldChar w:fldCharType="begin"/>
            </w:r>
            <w:r w:rsidRPr="00F12867">
              <w:rPr>
                <w:noProof/>
                <w:webHidden/>
              </w:rPr>
              <w:instrText xml:space="preserve"> PAGEREF _Toc201650794 \h </w:instrText>
            </w:r>
            <w:r w:rsidRPr="00F12867">
              <w:rPr>
                <w:noProof/>
                <w:webHidden/>
              </w:rPr>
            </w:r>
            <w:r w:rsidRPr="00F12867">
              <w:rPr>
                <w:noProof/>
                <w:webHidden/>
              </w:rPr>
              <w:fldChar w:fldCharType="separate"/>
            </w:r>
            <w:r w:rsidRPr="00F12867">
              <w:rPr>
                <w:noProof/>
                <w:webHidden/>
              </w:rPr>
              <w:t>13</w:t>
            </w:r>
            <w:r w:rsidRPr="00F12867">
              <w:rPr>
                <w:noProof/>
                <w:webHidden/>
              </w:rPr>
              <w:fldChar w:fldCharType="end"/>
            </w:r>
          </w:hyperlink>
        </w:p>
        <w:p w14:paraId="1217121C" w14:textId="4AB9D8B7"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95" w:history="1">
            <w:r w:rsidRPr="00F12867">
              <w:rPr>
                <w:rStyle w:val="Hyperlink"/>
                <w:rFonts w:ascii="Garamond" w:hAnsi="Garamond"/>
                <w:noProof/>
                <w:lang w:val="en-GB"/>
              </w:rPr>
              <w:t>5.1. Demographic and Socioeconomic Profile</w:t>
            </w:r>
            <w:r w:rsidRPr="00F12867">
              <w:rPr>
                <w:noProof/>
                <w:webHidden/>
              </w:rPr>
              <w:tab/>
            </w:r>
            <w:r w:rsidRPr="00F12867">
              <w:rPr>
                <w:noProof/>
                <w:webHidden/>
              </w:rPr>
              <w:fldChar w:fldCharType="begin"/>
            </w:r>
            <w:r w:rsidRPr="00F12867">
              <w:rPr>
                <w:noProof/>
                <w:webHidden/>
              </w:rPr>
              <w:instrText xml:space="preserve"> PAGEREF _Toc201650795 \h </w:instrText>
            </w:r>
            <w:r w:rsidRPr="00F12867">
              <w:rPr>
                <w:noProof/>
                <w:webHidden/>
              </w:rPr>
            </w:r>
            <w:r w:rsidRPr="00F12867">
              <w:rPr>
                <w:noProof/>
                <w:webHidden/>
              </w:rPr>
              <w:fldChar w:fldCharType="separate"/>
            </w:r>
            <w:r w:rsidRPr="00F12867">
              <w:rPr>
                <w:noProof/>
                <w:webHidden/>
              </w:rPr>
              <w:t>14</w:t>
            </w:r>
            <w:r w:rsidRPr="00F12867">
              <w:rPr>
                <w:noProof/>
                <w:webHidden/>
              </w:rPr>
              <w:fldChar w:fldCharType="end"/>
            </w:r>
          </w:hyperlink>
        </w:p>
        <w:p w14:paraId="1A1E8887" w14:textId="7CFC9063"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96" w:history="1">
            <w:r w:rsidRPr="00F12867">
              <w:rPr>
                <w:rStyle w:val="Hyperlink"/>
                <w:rFonts w:ascii="Garamond" w:hAnsi="Garamond"/>
                <w:noProof/>
              </w:rPr>
              <w:t>5.2. Household Structure</w:t>
            </w:r>
            <w:r w:rsidRPr="00F12867">
              <w:rPr>
                <w:noProof/>
                <w:webHidden/>
              </w:rPr>
              <w:tab/>
            </w:r>
            <w:r w:rsidRPr="00F12867">
              <w:rPr>
                <w:noProof/>
                <w:webHidden/>
              </w:rPr>
              <w:fldChar w:fldCharType="begin"/>
            </w:r>
            <w:r w:rsidRPr="00F12867">
              <w:rPr>
                <w:noProof/>
                <w:webHidden/>
              </w:rPr>
              <w:instrText xml:space="preserve"> PAGEREF _Toc201650796 \h </w:instrText>
            </w:r>
            <w:r w:rsidRPr="00F12867">
              <w:rPr>
                <w:noProof/>
                <w:webHidden/>
              </w:rPr>
            </w:r>
            <w:r w:rsidRPr="00F12867">
              <w:rPr>
                <w:noProof/>
                <w:webHidden/>
              </w:rPr>
              <w:fldChar w:fldCharType="separate"/>
            </w:r>
            <w:r w:rsidRPr="00F12867">
              <w:rPr>
                <w:noProof/>
                <w:webHidden/>
              </w:rPr>
              <w:t>17</w:t>
            </w:r>
            <w:r w:rsidRPr="00F12867">
              <w:rPr>
                <w:noProof/>
                <w:webHidden/>
              </w:rPr>
              <w:fldChar w:fldCharType="end"/>
            </w:r>
          </w:hyperlink>
        </w:p>
        <w:p w14:paraId="20685A0B" w14:textId="1D775E0B"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97" w:history="1">
            <w:r w:rsidRPr="00F12867">
              <w:rPr>
                <w:rStyle w:val="Hyperlink"/>
                <w:rFonts w:ascii="Garamond" w:hAnsi="Garamond"/>
                <w:noProof/>
              </w:rPr>
              <w:t>5.3 Wealth Index Analysis</w:t>
            </w:r>
            <w:r w:rsidRPr="00F12867">
              <w:rPr>
                <w:noProof/>
                <w:webHidden/>
              </w:rPr>
              <w:tab/>
            </w:r>
            <w:r w:rsidRPr="00F12867">
              <w:rPr>
                <w:noProof/>
                <w:webHidden/>
              </w:rPr>
              <w:fldChar w:fldCharType="begin"/>
            </w:r>
            <w:r w:rsidRPr="00F12867">
              <w:rPr>
                <w:noProof/>
                <w:webHidden/>
              </w:rPr>
              <w:instrText xml:space="preserve"> PAGEREF _Toc201650797 \h </w:instrText>
            </w:r>
            <w:r w:rsidRPr="00F12867">
              <w:rPr>
                <w:noProof/>
                <w:webHidden/>
              </w:rPr>
            </w:r>
            <w:r w:rsidRPr="00F12867">
              <w:rPr>
                <w:noProof/>
                <w:webHidden/>
              </w:rPr>
              <w:fldChar w:fldCharType="separate"/>
            </w:r>
            <w:r w:rsidRPr="00F12867">
              <w:rPr>
                <w:noProof/>
                <w:webHidden/>
              </w:rPr>
              <w:t>17</w:t>
            </w:r>
            <w:r w:rsidRPr="00F12867">
              <w:rPr>
                <w:noProof/>
                <w:webHidden/>
              </w:rPr>
              <w:fldChar w:fldCharType="end"/>
            </w:r>
          </w:hyperlink>
        </w:p>
        <w:p w14:paraId="5E5317E9" w14:textId="79AC56D8"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98" w:history="1">
            <w:r w:rsidRPr="00F12867">
              <w:rPr>
                <w:rStyle w:val="Hyperlink"/>
                <w:rFonts w:ascii="Garamond" w:hAnsi="Garamond"/>
                <w:noProof/>
              </w:rPr>
              <w:t>5.4 Statistical Test of Differences in Coverage by Education Level</w:t>
            </w:r>
            <w:r w:rsidRPr="00F12867">
              <w:rPr>
                <w:noProof/>
                <w:webHidden/>
              </w:rPr>
              <w:tab/>
            </w:r>
            <w:r w:rsidRPr="00F12867">
              <w:rPr>
                <w:noProof/>
                <w:webHidden/>
              </w:rPr>
              <w:fldChar w:fldCharType="begin"/>
            </w:r>
            <w:r w:rsidRPr="00F12867">
              <w:rPr>
                <w:noProof/>
                <w:webHidden/>
              </w:rPr>
              <w:instrText xml:space="preserve"> PAGEREF _Toc201650798 \h </w:instrText>
            </w:r>
            <w:r w:rsidRPr="00F12867">
              <w:rPr>
                <w:noProof/>
                <w:webHidden/>
              </w:rPr>
            </w:r>
            <w:r w:rsidRPr="00F12867">
              <w:rPr>
                <w:noProof/>
                <w:webHidden/>
              </w:rPr>
              <w:fldChar w:fldCharType="separate"/>
            </w:r>
            <w:r w:rsidRPr="00F12867">
              <w:rPr>
                <w:noProof/>
                <w:webHidden/>
              </w:rPr>
              <w:t>20</w:t>
            </w:r>
            <w:r w:rsidRPr="00F12867">
              <w:rPr>
                <w:noProof/>
                <w:webHidden/>
              </w:rPr>
              <w:fldChar w:fldCharType="end"/>
            </w:r>
          </w:hyperlink>
        </w:p>
        <w:p w14:paraId="34C91D29" w14:textId="21978483"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799" w:history="1">
            <w:r w:rsidRPr="00F12867">
              <w:rPr>
                <w:rStyle w:val="Hyperlink"/>
                <w:rFonts w:ascii="Garamond" w:hAnsi="Garamond"/>
                <w:noProof/>
              </w:rPr>
              <w:t>5.5 Awareness of MNCHW/SMC/VAS (source and purpose)</w:t>
            </w:r>
            <w:r w:rsidRPr="00F12867">
              <w:rPr>
                <w:noProof/>
                <w:webHidden/>
              </w:rPr>
              <w:tab/>
            </w:r>
            <w:r w:rsidRPr="00F12867">
              <w:rPr>
                <w:noProof/>
                <w:webHidden/>
              </w:rPr>
              <w:fldChar w:fldCharType="begin"/>
            </w:r>
            <w:r w:rsidRPr="00F12867">
              <w:rPr>
                <w:noProof/>
                <w:webHidden/>
              </w:rPr>
              <w:instrText xml:space="preserve"> PAGEREF _Toc201650799 \h </w:instrText>
            </w:r>
            <w:r w:rsidRPr="00F12867">
              <w:rPr>
                <w:noProof/>
                <w:webHidden/>
              </w:rPr>
            </w:r>
            <w:r w:rsidRPr="00F12867">
              <w:rPr>
                <w:noProof/>
                <w:webHidden/>
              </w:rPr>
              <w:fldChar w:fldCharType="separate"/>
            </w:r>
            <w:r w:rsidRPr="00F12867">
              <w:rPr>
                <w:noProof/>
                <w:webHidden/>
              </w:rPr>
              <w:t>21</w:t>
            </w:r>
            <w:r w:rsidRPr="00F12867">
              <w:rPr>
                <w:noProof/>
                <w:webHidden/>
              </w:rPr>
              <w:fldChar w:fldCharType="end"/>
            </w:r>
          </w:hyperlink>
        </w:p>
        <w:p w14:paraId="22708DBB" w14:textId="7B697C40"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800" w:history="1">
            <w:r w:rsidRPr="00F12867">
              <w:rPr>
                <w:rStyle w:val="Hyperlink"/>
                <w:rFonts w:ascii="Garamond" w:hAnsi="Garamond"/>
                <w:noProof/>
              </w:rPr>
              <w:t>5.6 Sources of Information for Vitamin A Supplementation (VAS)</w:t>
            </w:r>
            <w:r w:rsidRPr="00F12867">
              <w:rPr>
                <w:noProof/>
                <w:webHidden/>
              </w:rPr>
              <w:tab/>
            </w:r>
            <w:r w:rsidRPr="00F12867">
              <w:rPr>
                <w:noProof/>
                <w:webHidden/>
              </w:rPr>
              <w:fldChar w:fldCharType="begin"/>
            </w:r>
            <w:r w:rsidRPr="00F12867">
              <w:rPr>
                <w:noProof/>
                <w:webHidden/>
              </w:rPr>
              <w:instrText xml:space="preserve"> PAGEREF _Toc201650800 \h </w:instrText>
            </w:r>
            <w:r w:rsidRPr="00F12867">
              <w:rPr>
                <w:noProof/>
                <w:webHidden/>
              </w:rPr>
            </w:r>
            <w:r w:rsidRPr="00F12867">
              <w:rPr>
                <w:noProof/>
                <w:webHidden/>
              </w:rPr>
              <w:fldChar w:fldCharType="separate"/>
            </w:r>
            <w:r w:rsidRPr="00F12867">
              <w:rPr>
                <w:noProof/>
                <w:webHidden/>
              </w:rPr>
              <w:t>21</w:t>
            </w:r>
            <w:r w:rsidRPr="00F12867">
              <w:rPr>
                <w:noProof/>
                <w:webHidden/>
              </w:rPr>
              <w:fldChar w:fldCharType="end"/>
            </w:r>
          </w:hyperlink>
        </w:p>
        <w:p w14:paraId="52F9FE9F" w14:textId="1449EB47"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801" w:history="1">
            <w:r w:rsidRPr="00F12867">
              <w:rPr>
                <w:rStyle w:val="Hyperlink"/>
                <w:rFonts w:ascii="Garamond" w:hAnsi="Garamond"/>
                <w:noProof/>
              </w:rPr>
              <w:t>5.7 VAS Coverage Among Children Aged 6–59 Months</w:t>
            </w:r>
            <w:r w:rsidRPr="00F12867">
              <w:rPr>
                <w:noProof/>
                <w:webHidden/>
              </w:rPr>
              <w:tab/>
            </w:r>
            <w:r w:rsidRPr="00F12867">
              <w:rPr>
                <w:noProof/>
                <w:webHidden/>
              </w:rPr>
              <w:fldChar w:fldCharType="begin"/>
            </w:r>
            <w:r w:rsidRPr="00F12867">
              <w:rPr>
                <w:noProof/>
                <w:webHidden/>
              </w:rPr>
              <w:instrText xml:space="preserve"> PAGEREF _Toc201650801 \h </w:instrText>
            </w:r>
            <w:r w:rsidRPr="00F12867">
              <w:rPr>
                <w:noProof/>
                <w:webHidden/>
              </w:rPr>
            </w:r>
            <w:r w:rsidRPr="00F12867">
              <w:rPr>
                <w:noProof/>
                <w:webHidden/>
              </w:rPr>
              <w:fldChar w:fldCharType="separate"/>
            </w:r>
            <w:r w:rsidRPr="00F12867">
              <w:rPr>
                <w:noProof/>
                <w:webHidden/>
              </w:rPr>
              <w:t>22</w:t>
            </w:r>
            <w:r w:rsidRPr="00F12867">
              <w:rPr>
                <w:noProof/>
                <w:webHidden/>
              </w:rPr>
              <w:fldChar w:fldCharType="end"/>
            </w:r>
          </w:hyperlink>
        </w:p>
        <w:p w14:paraId="5BAA02BC" w14:textId="3EBC69F9"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802" w:history="1">
            <w:r w:rsidRPr="00F12867">
              <w:rPr>
                <w:rStyle w:val="Hyperlink"/>
                <w:rFonts w:ascii="Garamond" w:hAnsi="Garamond"/>
                <w:noProof/>
              </w:rPr>
              <w:t>5.8 Receipt of Child Health Interventions Among Children Aged 6–59 Months</w:t>
            </w:r>
            <w:r w:rsidRPr="00F12867">
              <w:rPr>
                <w:noProof/>
                <w:webHidden/>
              </w:rPr>
              <w:tab/>
            </w:r>
            <w:r w:rsidRPr="00F12867">
              <w:rPr>
                <w:noProof/>
                <w:webHidden/>
              </w:rPr>
              <w:fldChar w:fldCharType="begin"/>
            </w:r>
            <w:r w:rsidRPr="00F12867">
              <w:rPr>
                <w:noProof/>
                <w:webHidden/>
              </w:rPr>
              <w:instrText xml:space="preserve"> PAGEREF _Toc201650802 \h </w:instrText>
            </w:r>
            <w:r w:rsidRPr="00F12867">
              <w:rPr>
                <w:noProof/>
                <w:webHidden/>
              </w:rPr>
            </w:r>
            <w:r w:rsidRPr="00F12867">
              <w:rPr>
                <w:noProof/>
                <w:webHidden/>
              </w:rPr>
              <w:fldChar w:fldCharType="separate"/>
            </w:r>
            <w:r w:rsidRPr="00F12867">
              <w:rPr>
                <w:noProof/>
                <w:webHidden/>
              </w:rPr>
              <w:t>22</w:t>
            </w:r>
            <w:r w:rsidRPr="00F12867">
              <w:rPr>
                <w:noProof/>
                <w:webHidden/>
              </w:rPr>
              <w:fldChar w:fldCharType="end"/>
            </w:r>
          </w:hyperlink>
        </w:p>
        <w:p w14:paraId="2437D27F" w14:textId="1F23BDC0"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803" w:history="1">
            <w:r w:rsidRPr="00F12867">
              <w:rPr>
                <w:rStyle w:val="Hyperlink"/>
                <w:rFonts w:ascii="Garamond" w:hAnsi="Garamond"/>
                <w:noProof/>
                <w:lang w:val="en-GB"/>
              </w:rPr>
              <w:t>5.9 Objective 1: To determine the effect of integrating VAS with SMC on the uptake of other key MNCHW interventions</w:t>
            </w:r>
            <w:r w:rsidRPr="00F12867">
              <w:rPr>
                <w:noProof/>
                <w:webHidden/>
              </w:rPr>
              <w:tab/>
            </w:r>
            <w:r w:rsidRPr="00F12867">
              <w:rPr>
                <w:noProof/>
                <w:webHidden/>
              </w:rPr>
              <w:fldChar w:fldCharType="begin"/>
            </w:r>
            <w:r w:rsidRPr="00F12867">
              <w:rPr>
                <w:noProof/>
                <w:webHidden/>
              </w:rPr>
              <w:instrText xml:space="preserve"> PAGEREF _Toc201650803 \h </w:instrText>
            </w:r>
            <w:r w:rsidRPr="00F12867">
              <w:rPr>
                <w:noProof/>
                <w:webHidden/>
              </w:rPr>
            </w:r>
            <w:r w:rsidRPr="00F12867">
              <w:rPr>
                <w:noProof/>
                <w:webHidden/>
              </w:rPr>
              <w:fldChar w:fldCharType="separate"/>
            </w:r>
            <w:r w:rsidRPr="00F12867">
              <w:rPr>
                <w:noProof/>
                <w:webHidden/>
              </w:rPr>
              <w:t>25</w:t>
            </w:r>
            <w:r w:rsidRPr="00F12867">
              <w:rPr>
                <w:noProof/>
                <w:webHidden/>
              </w:rPr>
              <w:fldChar w:fldCharType="end"/>
            </w:r>
          </w:hyperlink>
        </w:p>
        <w:p w14:paraId="0C9310B5" w14:textId="7E6C266C"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804" w:history="1">
            <w:r w:rsidRPr="00F12867">
              <w:rPr>
                <w:rStyle w:val="Hyperlink"/>
                <w:rFonts w:ascii="Garamond" w:hAnsi="Garamond"/>
                <w:noProof/>
              </w:rPr>
              <w:t>Coverage of Child Health Interventions Across LGAs</w:t>
            </w:r>
            <w:r w:rsidRPr="00F12867">
              <w:rPr>
                <w:noProof/>
                <w:webHidden/>
              </w:rPr>
              <w:tab/>
            </w:r>
            <w:r w:rsidRPr="00F12867">
              <w:rPr>
                <w:noProof/>
                <w:webHidden/>
              </w:rPr>
              <w:fldChar w:fldCharType="begin"/>
            </w:r>
            <w:r w:rsidRPr="00F12867">
              <w:rPr>
                <w:noProof/>
                <w:webHidden/>
              </w:rPr>
              <w:instrText xml:space="preserve"> PAGEREF _Toc201650804 \h </w:instrText>
            </w:r>
            <w:r w:rsidRPr="00F12867">
              <w:rPr>
                <w:noProof/>
                <w:webHidden/>
              </w:rPr>
            </w:r>
            <w:r w:rsidRPr="00F12867">
              <w:rPr>
                <w:noProof/>
                <w:webHidden/>
              </w:rPr>
              <w:fldChar w:fldCharType="separate"/>
            </w:r>
            <w:r w:rsidRPr="00F12867">
              <w:rPr>
                <w:noProof/>
                <w:webHidden/>
              </w:rPr>
              <w:t>27</w:t>
            </w:r>
            <w:r w:rsidRPr="00F12867">
              <w:rPr>
                <w:noProof/>
                <w:webHidden/>
              </w:rPr>
              <w:fldChar w:fldCharType="end"/>
            </w:r>
          </w:hyperlink>
        </w:p>
        <w:p w14:paraId="00F49692" w14:textId="3DEBCBF8"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805" w:history="1">
            <w:r w:rsidRPr="00F12867">
              <w:rPr>
                <w:rStyle w:val="Hyperlink"/>
                <w:rFonts w:ascii="Garamond" w:hAnsi="Garamond"/>
                <w:noProof/>
              </w:rPr>
              <w:t>Statistical Test for Difference in Coverage Across LGAs</w:t>
            </w:r>
            <w:r w:rsidRPr="00F12867">
              <w:rPr>
                <w:noProof/>
                <w:webHidden/>
              </w:rPr>
              <w:tab/>
            </w:r>
            <w:r w:rsidRPr="00F12867">
              <w:rPr>
                <w:noProof/>
                <w:webHidden/>
              </w:rPr>
              <w:fldChar w:fldCharType="begin"/>
            </w:r>
            <w:r w:rsidRPr="00F12867">
              <w:rPr>
                <w:noProof/>
                <w:webHidden/>
              </w:rPr>
              <w:instrText xml:space="preserve"> PAGEREF _Toc201650805 \h </w:instrText>
            </w:r>
            <w:r w:rsidRPr="00F12867">
              <w:rPr>
                <w:noProof/>
                <w:webHidden/>
              </w:rPr>
            </w:r>
            <w:r w:rsidRPr="00F12867">
              <w:rPr>
                <w:noProof/>
                <w:webHidden/>
              </w:rPr>
              <w:fldChar w:fldCharType="separate"/>
            </w:r>
            <w:r w:rsidRPr="00F12867">
              <w:rPr>
                <w:noProof/>
                <w:webHidden/>
              </w:rPr>
              <w:t>29</w:t>
            </w:r>
            <w:r w:rsidRPr="00F12867">
              <w:rPr>
                <w:noProof/>
                <w:webHidden/>
              </w:rPr>
              <w:fldChar w:fldCharType="end"/>
            </w:r>
          </w:hyperlink>
        </w:p>
        <w:p w14:paraId="424115F6" w14:textId="124D6B4D"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806" w:history="1">
            <w:r w:rsidRPr="00F12867">
              <w:rPr>
                <w:rStyle w:val="Hyperlink"/>
                <w:rFonts w:ascii="Garamond" w:hAnsi="Garamond"/>
                <w:noProof/>
                <w:lang w:val="en-GB"/>
              </w:rPr>
              <w:t xml:space="preserve">5.10 Objective 2: </w:t>
            </w:r>
            <w:r w:rsidRPr="00F12867">
              <w:rPr>
                <w:rStyle w:val="Hyperlink"/>
                <w:rFonts w:ascii="Garamond" w:hAnsi="Garamond"/>
                <w:noProof/>
              </w:rPr>
              <w:t>To assess health workers’ and policy makers’ perceptions of the effect of removing VAS from MNCHW on the demand for and uptake of MNCHW interventions.</w:t>
            </w:r>
            <w:r w:rsidRPr="00F12867">
              <w:rPr>
                <w:noProof/>
                <w:webHidden/>
              </w:rPr>
              <w:tab/>
            </w:r>
            <w:r w:rsidRPr="00F12867">
              <w:rPr>
                <w:noProof/>
                <w:webHidden/>
              </w:rPr>
              <w:fldChar w:fldCharType="begin"/>
            </w:r>
            <w:r w:rsidRPr="00F12867">
              <w:rPr>
                <w:noProof/>
                <w:webHidden/>
              </w:rPr>
              <w:instrText xml:space="preserve"> PAGEREF _Toc201650806 \h </w:instrText>
            </w:r>
            <w:r w:rsidRPr="00F12867">
              <w:rPr>
                <w:noProof/>
                <w:webHidden/>
              </w:rPr>
            </w:r>
            <w:r w:rsidRPr="00F12867">
              <w:rPr>
                <w:noProof/>
                <w:webHidden/>
              </w:rPr>
              <w:fldChar w:fldCharType="separate"/>
            </w:r>
            <w:r w:rsidRPr="00F12867">
              <w:rPr>
                <w:noProof/>
                <w:webHidden/>
              </w:rPr>
              <w:t>31</w:t>
            </w:r>
            <w:r w:rsidRPr="00F12867">
              <w:rPr>
                <w:noProof/>
                <w:webHidden/>
              </w:rPr>
              <w:fldChar w:fldCharType="end"/>
            </w:r>
          </w:hyperlink>
        </w:p>
        <w:p w14:paraId="55F45DAD" w14:textId="660A6D3C"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807" w:history="1">
            <w:r w:rsidRPr="00F12867">
              <w:rPr>
                <w:rStyle w:val="Hyperlink"/>
                <w:rFonts w:ascii="Garamond" w:hAnsi="Garamond"/>
                <w:noProof/>
              </w:rPr>
              <w:t>5.11 Objective 3: Coverage of Vitamin A Supplementation Following Integration with SMC</w:t>
            </w:r>
            <w:r w:rsidRPr="00F12867">
              <w:rPr>
                <w:noProof/>
                <w:webHidden/>
              </w:rPr>
              <w:tab/>
            </w:r>
            <w:r w:rsidRPr="00F12867">
              <w:rPr>
                <w:noProof/>
                <w:webHidden/>
              </w:rPr>
              <w:fldChar w:fldCharType="begin"/>
            </w:r>
            <w:r w:rsidRPr="00F12867">
              <w:rPr>
                <w:noProof/>
                <w:webHidden/>
              </w:rPr>
              <w:instrText xml:space="preserve"> PAGEREF _Toc201650807 \h </w:instrText>
            </w:r>
            <w:r w:rsidRPr="00F12867">
              <w:rPr>
                <w:noProof/>
                <w:webHidden/>
              </w:rPr>
            </w:r>
            <w:r w:rsidRPr="00F12867">
              <w:rPr>
                <w:noProof/>
                <w:webHidden/>
              </w:rPr>
              <w:fldChar w:fldCharType="separate"/>
            </w:r>
            <w:r w:rsidRPr="00F12867">
              <w:rPr>
                <w:noProof/>
                <w:webHidden/>
              </w:rPr>
              <w:t>32</w:t>
            </w:r>
            <w:r w:rsidRPr="00F12867">
              <w:rPr>
                <w:noProof/>
                <w:webHidden/>
              </w:rPr>
              <w:fldChar w:fldCharType="end"/>
            </w:r>
          </w:hyperlink>
        </w:p>
        <w:p w14:paraId="1ABA9CF4" w14:textId="5616B2D2"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808" w:history="1">
            <w:r w:rsidRPr="00F12867">
              <w:rPr>
                <w:rStyle w:val="Hyperlink"/>
                <w:rFonts w:ascii="Garamond" w:hAnsi="Garamond"/>
                <w:noProof/>
              </w:rPr>
              <w:t>5.12 Objective 4: To Monitor the Coverage and Quality of SMC Following Integration with VAS</w:t>
            </w:r>
            <w:r w:rsidRPr="00F12867">
              <w:rPr>
                <w:noProof/>
                <w:webHidden/>
              </w:rPr>
              <w:tab/>
            </w:r>
            <w:r w:rsidRPr="00F12867">
              <w:rPr>
                <w:noProof/>
                <w:webHidden/>
              </w:rPr>
              <w:fldChar w:fldCharType="begin"/>
            </w:r>
            <w:r w:rsidRPr="00F12867">
              <w:rPr>
                <w:noProof/>
                <w:webHidden/>
              </w:rPr>
              <w:instrText xml:space="preserve"> PAGEREF _Toc201650808 \h </w:instrText>
            </w:r>
            <w:r w:rsidRPr="00F12867">
              <w:rPr>
                <w:noProof/>
                <w:webHidden/>
              </w:rPr>
            </w:r>
            <w:r w:rsidRPr="00F12867">
              <w:rPr>
                <w:noProof/>
                <w:webHidden/>
              </w:rPr>
              <w:fldChar w:fldCharType="separate"/>
            </w:r>
            <w:r w:rsidRPr="00F12867">
              <w:rPr>
                <w:noProof/>
                <w:webHidden/>
              </w:rPr>
              <w:t>34</w:t>
            </w:r>
            <w:r w:rsidRPr="00F12867">
              <w:rPr>
                <w:noProof/>
                <w:webHidden/>
              </w:rPr>
              <w:fldChar w:fldCharType="end"/>
            </w:r>
          </w:hyperlink>
        </w:p>
        <w:p w14:paraId="0423EDB9" w14:textId="3978C2C9" w:rsidR="00F12867" w:rsidRPr="00F12867" w:rsidRDefault="00F12867">
          <w:pPr>
            <w:pStyle w:val="TOC1"/>
            <w:tabs>
              <w:tab w:val="right" w:leader="dot" w:pos="9350"/>
            </w:tabs>
            <w:rPr>
              <w:rFonts w:eastAsiaTheme="minorEastAsia"/>
              <w:noProof/>
              <w:kern w:val="2"/>
              <w:lang w:val="en-GB" w:eastAsia="en-GB"/>
              <w14:ligatures w14:val="standardContextual"/>
            </w:rPr>
          </w:pPr>
          <w:hyperlink w:anchor="_Toc201650809" w:history="1">
            <w:r w:rsidRPr="00F12867">
              <w:rPr>
                <w:rStyle w:val="Hyperlink"/>
                <w:rFonts w:ascii="Garamond" w:hAnsi="Garamond"/>
                <w:noProof/>
                <w:lang w:val="en-GB"/>
              </w:rPr>
              <w:t>6. Discussion</w:t>
            </w:r>
            <w:r w:rsidRPr="00F12867">
              <w:rPr>
                <w:noProof/>
                <w:webHidden/>
              </w:rPr>
              <w:tab/>
            </w:r>
            <w:r w:rsidRPr="00F12867">
              <w:rPr>
                <w:noProof/>
                <w:webHidden/>
              </w:rPr>
              <w:fldChar w:fldCharType="begin"/>
            </w:r>
            <w:r w:rsidRPr="00F12867">
              <w:rPr>
                <w:noProof/>
                <w:webHidden/>
              </w:rPr>
              <w:instrText xml:space="preserve"> PAGEREF _Toc201650809 \h </w:instrText>
            </w:r>
            <w:r w:rsidRPr="00F12867">
              <w:rPr>
                <w:noProof/>
                <w:webHidden/>
              </w:rPr>
            </w:r>
            <w:r w:rsidRPr="00F12867">
              <w:rPr>
                <w:noProof/>
                <w:webHidden/>
              </w:rPr>
              <w:fldChar w:fldCharType="separate"/>
            </w:r>
            <w:r w:rsidRPr="00F12867">
              <w:rPr>
                <w:noProof/>
                <w:webHidden/>
              </w:rPr>
              <w:t>35</w:t>
            </w:r>
            <w:r w:rsidRPr="00F12867">
              <w:rPr>
                <w:noProof/>
                <w:webHidden/>
              </w:rPr>
              <w:fldChar w:fldCharType="end"/>
            </w:r>
          </w:hyperlink>
        </w:p>
        <w:p w14:paraId="716384B5" w14:textId="5DFDA69A" w:rsidR="00F12867" w:rsidRPr="00F12867" w:rsidRDefault="00F12867">
          <w:pPr>
            <w:pStyle w:val="TOC2"/>
            <w:tabs>
              <w:tab w:val="right" w:leader="dot" w:pos="9350"/>
            </w:tabs>
            <w:rPr>
              <w:rFonts w:eastAsiaTheme="minorEastAsia"/>
              <w:noProof/>
              <w:kern w:val="2"/>
              <w:lang w:val="en-GB" w:eastAsia="en-GB"/>
              <w14:ligatures w14:val="standardContextual"/>
            </w:rPr>
          </w:pPr>
          <w:hyperlink w:anchor="_Toc201650810" w:history="1">
            <w:r w:rsidRPr="00F12867">
              <w:rPr>
                <w:rStyle w:val="Hyperlink"/>
                <w:rFonts w:ascii="Garamond" w:hAnsi="Garamond"/>
                <w:noProof/>
                <w:lang w:val="en-GB"/>
              </w:rPr>
              <w:t>6.1 Main Findings</w:t>
            </w:r>
            <w:r w:rsidRPr="00F12867">
              <w:rPr>
                <w:noProof/>
                <w:webHidden/>
              </w:rPr>
              <w:tab/>
            </w:r>
            <w:r w:rsidRPr="00F12867">
              <w:rPr>
                <w:noProof/>
                <w:webHidden/>
              </w:rPr>
              <w:fldChar w:fldCharType="begin"/>
            </w:r>
            <w:r w:rsidRPr="00F12867">
              <w:rPr>
                <w:noProof/>
                <w:webHidden/>
              </w:rPr>
              <w:instrText xml:space="preserve"> PAGEREF _Toc201650810 \h </w:instrText>
            </w:r>
            <w:r w:rsidRPr="00F12867">
              <w:rPr>
                <w:noProof/>
                <w:webHidden/>
              </w:rPr>
            </w:r>
            <w:r w:rsidRPr="00F12867">
              <w:rPr>
                <w:noProof/>
                <w:webHidden/>
              </w:rPr>
              <w:fldChar w:fldCharType="separate"/>
            </w:r>
            <w:r w:rsidRPr="00F12867">
              <w:rPr>
                <w:noProof/>
                <w:webHidden/>
              </w:rPr>
              <w:t>35</w:t>
            </w:r>
            <w:r w:rsidRPr="00F12867">
              <w:rPr>
                <w:noProof/>
                <w:webHidden/>
              </w:rPr>
              <w:fldChar w:fldCharType="end"/>
            </w:r>
          </w:hyperlink>
        </w:p>
        <w:p w14:paraId="73E5742D" w14:textId="11E6FDEE" w:rsidR="00AC4E03" w:rsidRPr="005871E7" w:rsidRDefault="00000000" w:rsidP="005871E7">
          <w:pPr>
            <w:spacing w:line="360" w:lineRule="auto"/>
            <w:jc w:val="both"/>
            <w:rPr>
              <w:rFonts w:ascii="Garamond" w:hAnsi="Garamond"/>
            </w:rPr>
          </w:pPr>
          <w:r w:rsidRPr="00F12867">
            <w:rPr>
              <w:rFonts w:ascii="Garamond" w:hAnsi="Garamond"/>
            </w:rPr>
            <w:fldChar w:fldCharType="end"/>
          </w:r>
        </w:p>
      </w:sdtContent>
    </w:sdt>
    <w:p w14:paraId="4929C2E3" w14:textId="77777777" w:rsidR="005871E7" w:rsidRPr="005871E7" w:rsidRDefault="005871E7" w:rsidP="005871E7">
      <w:bookmarkStart w:id="0" w:name="introduction"/>
    </w:p>
    <w:p w14:paraId="74B1B305" w14:textId="77777777" w:rsidR="005871E7" w:rsidRPr="005871E7" w:rsidRDefault="005871E7" w:rsidP="005871E7"/>
    <w:p w14:paraId="584CD026" w14:textId="77777777" w:rsidR="005871E7" w:rsidRPr="005871E7" w:rsidRDefault="005871E7" w:rsidP="005871E7"/>
    <w:p w14:paraId="4EB05DC2" w14:textId="77777777" w:rsidR="005871E7" w:rsidRPr="005871E7" w:rsidRDefault="005871E7" w:rsidP="005871E7"/>
    <w:p w14:paraId="1197C072" w14:textId="77777777" w:rsidR="005871E7" w:rsidRPr="005871E7" w:rsidRDefault="005871E7" w:rsidP="005871E7"/>
    <w:p w14:paraId="7CEEFDF5" w14:textId="77777777" w:rsidR="005871E7" w:rsidRPr="005871E7" w:rsidRDefault="005871E7" w:rsidP="005871E7"/>
    <w:p w14:paraId="2899648E" w14:textId="77777777" w:rsidR="005871E7" w:rsidRPr="005871E7" w:rsidRDefault="005871E7" w:rsidP="005871E7"/>
    <w:p w14:paraId="3F934BF7" w14:textId="77777777" w:rsidR="005871E7" w:rsidRPr="005871E7" w:rsidRDefault="005871E7" w:rsidP="005871E7"/>
    <w:p w14:paraId="7EFC36C3" w14:textId="77777777" w:rsidR="005871E7" w:rsidRDefault="005871E7" w:rsidP="005871E7">
      <w:pPr>
        <w:pStyle w:val="Heading1"/>
        <w:spacing w:line="360" w:lineRule="auto"/>
        <w:jc w:val="both"/>
        <w:rPr>
          <w:rFonts w:ascii="Garamond" w:hAnsi="Garamond"/>
        </w:rPr>
      </w:pPr>
    </w:p>
    <w:p w14:paraId="14DF5568" w14:textId="77777777" w:rsidR="00B741C6" w:rsidRPr="00167106" w:rsidRDefault="00B741C6" w:rsidP="00B741C6">
      <w:pPr>
        <w:pStyle w:val="BodyText"/>
        <w:rPr>
          <w:rFonts w:ascii="Garamond" w:hAnsi="Garamond"/>
          <w:lang w:val="en-GB"/>
        </w:rPr>
      </w:pPr>
    </w:p>
    <w:p w14:paraId="523E40E9" w14:textId="77777777" w:rsidR="00167106" w:rsidRDefault="00167106" w:rsidP="00167106">
      <w:pPr>
        <w:rPr>
          <w:lang w:val="en-GB"/>
        </w:rPr>
      </w:pPr>
    </w:p>
    <w:p w14:paraId="5D60DBCF" w14:textId="77777777" w:rsidR="00167106" w:rsidRDefault="00167106" w:rsidP="00167106">
      <w:pPr>
        <w:rPr>
          <w:lang w:val="en-GB"/>
        </w:rPr>
      </w:pPr>
    </w:p>
    <w:p w14:paraId="3A964C17" w14:textId="77777777" w:rsidR="00F12867" w:rsidRDefault="00F12867" w:rsidP="00167106">
      <w:pPr>
        <w:rPr>
          <w:lang w:val="en-GB"/>
        </w:rPr>
      </w:pPr>
    </w:p>
    <w:p w14:paraId="06206F6F" w14:textId="77777777" w:rsidR="00F12867" w:rsidRDefault="00F12867" w:rsidP="00167106">
      <w:pPr>
        <w:rPr>
          <w:lang w:val="en-GB"/>
        </w:rPr>
      </w:pPr>
    </w:p>
    <w:p w14:paraId="61E431C1" w14:textId="77777777" w:rsidR="00F12867" w:rsidRDefault="00F12867" w:rsidP="00167106">
      <w:pPr>
        <w:rPr>
          <w:lang w:val="en-GB"/>
        </w:rPr>
      </w:pPr>
    </w:p>
    <w:p w14:paraId="13C7A037" w14:textId="77777777" w:rsidR="00F12867" w:rsidRDefault="00F12867" w:rsidP="00167106">
      <w:pPr>
        <w:rPr>
          <w:lang w:val="en-GB"/>
        </w:rPr>
      </w:pPr>
    </w:p>
    <w:p w14:paraId="586A8F82" w14:textId="77777777" w:rsidR="00F12867" w:rsidRDefault="00F12867" w:rsidP="00167106">
      <w:pPr>
        <w:rPr>
          <w:lang w:val="en-GB"/>
        </w:rPr>
      </w:pPr>
    </w:p>
    <w:p w14:paraId="0C922FDE" w14:textId="77777777" w:rsidR="00F12867" w:rsidRDefault="00F12867" w:rsidP="00167106">
      <w:pPr>
        <w:rPr>
          <w:lang w:val="en-GB"/>
        </w:rPr>
      </w:pPr>
    </w:p>
    <w:p w14:paraId="287C2E67" w14:textId="77777777" w:rsidR="00F12867" w:rsidRDefault="00F12867" w:rsidP="00167106">
      <w:pPr>
        <w:rPr>
          <w:lang w:val="en-GB"/>
        </w:rPr>
      </w:pPr>
    </w:p>
    <w:p w14:paraId="237E368E" w14:textId="394D1664" w:rsidR="00167106" w:rsidRPr="00167106" w:rsidRDefault="00167106" w:rsidP="00167106">
      <w:pPr>
        <w:spacing w:line="360" w:lineRule="auto"/>
        <w:jc w:val="both"/>
        <w:rPr>
          <w:rFonts w:ascii="Garamond" w:hAnsi="Garamond"/>
          <w:b/>
          <w:bCs/>
        </w:rPr>
      </w:pPr>
      <w:r w:rsidRPr="00167106">
        <w:rPr>
          <w:rFonts w:ascii="Garamond" w:hAnsi="Garamond"/>
          <w:b/>
          <w:bCs/>
          <w:lang w:val="en-GB"/>
        </w:rPr>
        <w:lastRenderedPageBreak/>
        <w:t>Executive Summary</w:t>
      </w:r>
    </w:p>
    <w:p w14:paraId="62F8A1A2" w14:textId="77777777" w:rsidR="00167106" w:rsidRPr="00167106" w:rsidRDefault="00167106" w:rsidP="00167106">
      <w:pPr>
        <w:spacing w:line="360" w:lineRule="auto"/>
        <w:jc w:val="both"/>
        <w:rPr>
          <w:rFonts w:ascii="Garamond" w:hAnsi="Garamond"/>
          <w:b/>
          <w:bCs/>
        </w:rPr>
      </w:pPr>
      <w:r w:rsidRPr="00167106">
        <w:rPr>
          <w:rFonts w:ascii="Garamond" w:hAnsi="Garamond"/>
          <w:b/>
          <w:bCs/>
          <w:lang w:val="en-GB"/>
        </w:rPr>
        <w:t>Background</w:t>
      </w:r>
    </w:p>
    <w:p w14:paraId="62580455" w14:textId="5AFE25AF" w:rsidR="00167106" w:rsidRPr="00167106" w:rsidRDefault="00167106" w:rsidP="00167106">
      <w:pPr>
        <w:spacing w:line="360" w:lineRule="auto"/>
        <w:jc w:val="both"/>
        <w:rPr>
          <w:rFonts w:ascii="Garamond" w:hAnsi="Garamond"/>
          <w:lang w:val="en-GB"/>
        </w:rPr>
      </w:pPr>
      <w:r w:rsidRPr="00167106">
        <w:rPr>
          <w:rFonts w:ascii="Garamond" w:hAnsi="Garamond"/>
          <w:lang w:val="en-GB"/>
        </w:rPr>
        <w:t>Malnutrition and malaria continue to represent significant threats to child survival and development in Nigeria, particularly in the northern states. Vitamin A Supplementation (VAS) is a proven, cost-effective intervention to reduce child mortality and morbidity, yet coverage rates remain suboptimal. Seasonal Malaria Chemoprevention (SMC) campaigns, meanwhile, have achieved high coverage in malaria-endemic areas through door-to-door strategies. There is increasing policy and programmatic interest in integrating VAS delivery with SMC campaigns to optimize efficiency, reach underserved populations, and address persistent coverage gaps. This baseline evaluation was undertaken in Bauchi State to generate robust evidence on the feasibility and effectiveness of such integration.</w:t>
      </w:r>
    </w:p>
    <w:p w14:paraId="65AB09AB" w14:textId="77777777" w:rsidR="00167106" w:rsidRPr="00167106" w:rsidRDefault="00167106" w:rsidP="00167106">
      <w:pPr>
        <w:spacing w:line="360" w:lineRule="auto"/>
        <w:jc w:val="both"/>
        <w:rPr>
          <w:rFonts w:ascii="Garamond" w:hAnsi="Garamond"/>
          <w:b/>
          <w:bCs/>
          <w:lang w:val="en-GB"/>
        </w:rPr>
      </w:pPr>
      <w:r w:rsidRPr="00167106">
        <w:rPr>
          <w:rFonts w:ascii="Garamond" w:hAnsi="Garamond"/>
          <w:b/>
          <w:bCs/>
          <w:lang w:val="en-GB"/>
        </w:rPr>
        <w:t>Study Objectives</w:t>
      </w:r>
    </w:p>
    <w:p w14:paraId="6D9EC853" w14:textId="77777777" w:rsidR="00167106" w:rsidRPr="00167106" w:rsidRDefault="00167106" w:rsidP="00167106">
      <w:pPr>
        <w:spacing w:line="360" w:lineRule="auto"/>
        <w:jc w:val="both"/>
        <w:rPr>
          <w:rFonts w:ascii="Garamond" w:hAnsi="Garamond"/>
          <w:lang w:val="en-GB"/>
        </w:rPr>
      </w:pPr>
      <w:r w:rsidRPr="00167106">
        <w:rPr>
          <w:rFonts w:ascii="Garamond" w:hAnsi="Garamond"/>
          <w:lang w:val="en-GB"/>
        </w:rPr>
        <w:t>The primary aim of this baseline study is to evaluate the effectiveness and operational feasibility of integrating VAS into SMC campaigns in Bauchi State, Nigeria. Specific objectives include:</w:t>
      </w:r>
    </w:p>
    <w:p w14:paraId="7F7804DF" w14:textId="77777777" w:rsidR="00167106" w:rsidRPr="00865143" w:rsidRDefault="00167106" w:rsidP="00865143">
      <w:pPr>
        <w:pStyle w:val="ListParagraph"/>
        <w:numPr>
          <w:ilvl w:val="0"/>
          <w:numId w:val="26"/>
        </w:numPr>
        <w:spacing w:line="360" w:lineRule="auto"/>
        <w:jc w:val="both"/>
        <w:rPr>
          <w:rFonts w:ascii="Garamond" w:hAnsi="Garamond"/>
          <w:lang w:val="en-GB"/>
        </w:rPr>
      </w:pPr>
      <w:r w:rsidRPr="00865143">
        <w:rPr>
          <w:rFonts w:ascii="Garamond" w:hAnsi="Garamond"/>
          <w:lang w:val="en-GB"/>
        </w:rPr>
        <w:t>To determine the effect of integrating VAS with SMC on the uptake of other key MNCHW interventions.</w:t>
      </w:r>
    </w:p>
    <w:p w14:paraId="3A5FCE6E" w14:textId="77777777" w:rsidR="00167106" w:rsidRPr="00865143" w:rsidRDefault="00167106" w:rsidP="00865143">
      <w:pPr>
        <w:pStyle w:val="ListParagraph"/>
        <w:numPr>
          <w:ilvl w:val="0"/>
          <w:numId w:val="26"/>
        </w:numPr>
        <w:spacing w:line="360" w:lineRule="auto"/>
        <w:jc w:val="both"/>
        <w:rPr>
          <w:rFonts w:ascii="Garamond" w:hAnsi="Garamond"/>
          <w:lang w:val="en-GB"/>
        </w:rPr>
      </w:pPr>
      <w:r w:rsidRPr="00865143">
        <w:rPr>
          <w:rFonts w:ascii="Garamond" w:hAnsi="Garamond"/>
          <w:lang w:val="en-GB"/>
        </w:rPr>
        <w:t>To assess health workers’ and policy makers’ perceptions of the effect of removing VAS from MNCHW on the demand for and uptake of MNCHW interventions.</w:t>
      </w:r>
    </w:p>
    <w:p w14:paraId="087F2FB3" w14:textId="77777777" w:rsidR="00167106" w:rsidRPr="00865143" w:rsidRDefault="00167106" w:rsidP="00865143">
      <w:pPr>
        <w:pStyle w:val="ListParagraph"/>
        <w:numPr>
          <w:ilvl w:val="0"/>
          <w:numId w:val="26"/>
        </w:numPr>
        <w:spacing w:line="360" w:lineRule="auto"/>
        <w:jc w:val="both"/>
        <w:rPr>
          <w:rFonts w:ascii="Garamond" w:hAnsi="Garamond"/>
          <w:lang w:val="en-GB"/>
        </w:rPr>
      </w:pPr>
      <w:r w:rsidRPr="00865143">
        <w:rPr>
          <w:rFonts w:ascii="Garamond" w:hAnsi="Garamond"/>
          <w:lang w:val="en-GB"/>
        </w:rPr>
        <w:t>To determine the coverage of vitamin A following integration with SMC.</w:t>
      </w:r>
    </w:p>
    <w:p w14:paraId="1255A26C" w14:textId="77777777" w:rsidR="00167106" w:rsidRPr="00865143" w:rsidRDefault="00167106" w:rsidP="00865143">
      <w:pPr>
        <w:pStyle w:val="ListParagraph"/>
        <w:numPr>
          <w:ilvl w:val="0"/>
          <w:numId w:val="26"/>
        </w:numPr>
        <w:spacing w:line="360" w:lineRule="auto"/>
        <w:jc w:val="both"/>
        <w:rPr>
          <w:rFonts w:ascii="Garamond" w:hAnsi="Garamond"/>
          <w:lang w:val="en-GB"/>
        </w:rPr>
      </w:pPr>
      <w:r w:rsidRPr="00865143">
        <w:rPr>
          <w:rFonts w:ascii="Garamond" w:hAnsi="Garamond"/>
          <w:lang w:val="en-GB"/>
        </w:rPr>
        <w:t>To monitor the coverage and quality of SMC following integration with VAS.</w:t>
      </w:r>
      <w:r w:rsidRPr="00865143">
        <w:rPr>
          <w:rFonts w:ascii="Garamond" w:hAnsi="Garamond"/>
          <w:lang w:val="en-GB"/>
        </w:rPr>
        <w:br/>
        <w:t xml:space="preserve">Secondary objectives include identifying barriers and facilitators to </w:t>
      </w:r>
      <w:proofErr w:type="gramStart"/>
      <w:r w:rsidRPr="00865143">
        <w:rPr>
          <w:rFonts w:ascii="Garamond" w:hAnsi="Garamond"/>
          <w:lang w:val="en-GB"/>
        </w:rPr>
        <w:t>uptake, and</w:t>
      </w:r>
      <w:proofErr w:type="gramEnd"/>
      <w:r w:rsidRPr="00865143">
        <w:rPr>
          <w:rFonts w:ascii="Garamond" w:hAnsi="Garamond"/>
          <w:lang w:val="en-GB"/>
        </w:rPr>
        <w:t xml:space="preserve"> understanding community awareness and perceptions of integrated campaigns.</w:t>
      </w:r>
    </w:p>
    <w:p w14:paraId="7A44CC24" w14:textId="77777777" w:rsidR="00167106" w:rsidRPr="00167106" w:rsidRDefault="00167106" w:rsidP="00167106">
      <w:pPr>
        <w:spacing w:line="360" w:lineRule="auto"/>
        <w:jc w:val="both"/>
        <w:rPr>
          <w:rFonts w:ascii="Garamond" w:hAnsi="Garamond"/>
          <w:b/>
          <w:bCs/>
          <w:lang w:val="en-GB"/>
        </w:rPr>
      </w:pPr>
      <w:r w:rsidRPr="00167106">
        <w:rPr>
          <w:rFonts w:ascii="Garamond" w:hAnsi="Garamond"/>
          <w:b/>
          <w:bCs/>
          <w:lang w:val="en-GB"/>
        </w:rPr>
        <w:t>Methodology</w:t>
      </w:r>
    </w:p>
    <w:p w14:paraId="3C588926" w14:textId="5D59FDD4" w:rsidR="00167106" w:rsidRPr="00167106" w:rsidRDefault="00167106" w:rsidP="00167106">
      <w:pPr>
        <w:spacing w:line="360" w:lineRule="auto"/>
        <w:jc w:val="both"/>
        <w:rPr>
          <w:rFonts w:ascii="Garamond" w:hAnsi="Garamond"/>
          <w:lang w:val="en-GB"/>
        </w:rPr>
      </w:pPr>
      <w:r w:rsidRPr="00167106">
        <w:rPr>
          <w:rFonts w:ascii="Garamond" w:hAnsi="Garamond"/>
          <w:lang w:val="en-GB"/>
        </w:rPr>
        <w:t xml:space="preserve">A cross-sectional, mixed-methods baseline survey was conducted across all 20 Local Government Areas (LGAs) of Bauchi State. A multi-stage cluster sampling approach was used to select households with eligible children aged 6–59 months and women of childbearing age (15–49 years). Data were collected using structured questionnaires administered by trained fieldworkers, complemented by qualitative interviews with caregivers and health workers. Primary indicators included coverage of VAS (in the last 6 months, during MNCHW, and during integrated </w:t>
      </w:r>
      <w:r w:rsidRPr="00167106">
        <w:rPr>
          <w:rFonts w:ascii="Garamond" w:hAnsi="Garamond"/>
          <w:lang w:val="en-GB"/>
        </w:rPr>
        <w:lastRenderedPageBreak/>
        <w:t>campaigns), SMC, deworming, MUAC screening, routine immunization, and key maternal interventions (iron and folic acid supplementation, tetanus toxoid, ANC/PNC). Additional variables assessed sources of information, caregiver awareness, service satisfaction, and reasons for missed interventions.</w:t>
      </w:r>
    </w:p>
    <w:p w14:paraId="2B924B40" w14:textId="77777777" w:rsidR="00167106" w:rsidRPr="00167106" w:rsidRDefault="00167106" w:rsidP="00167106">
      <w:pPr>
        <w:spacing w:line="360" w:lineRule="auto"/>
        <w:jc w:val="both"/>
        <w:rPr>
          <w:rFonts w:ascii="Garamond" w:hAnsi="Garamond"/>
          <w:b/>
          <w:bCs/>
          <w:lang w:val="en-GB"/>
        </w:rPr>
      </w:pPr>
      <w:r w:rsidRPr="00167106">
        <w:rPr>
          <w:rFonts w:ascii="Garamond" w:hAnsi="Garamond"/>
          <w:b/>
          <w:bCs/>
          <w:lang w:val="en-GB"/>
        </w:rPr>
        <w:t>Main Findings</w:t>
      </w:r>
    </w:p>
    <w:p w14:paraId="718CE74B" w14:textId="77777777" w:rsidR="00167106" w:rsidRPr="00865143" w:rsidRDefault="00167106" w:rsidP="00865143">
      <w:pPr>
        <w:pStyle w:val="ListParagraph"/>
        <w:numPr>
          <w:ilvl w:val="0"/>
          <w:numId w:val="27"/>
        </w:numPr>
        <w:spacing w:line="360" w:lineRule="auto"/>
        <w:jc w:val="both"/>
        <w:rPr>
          <w:rFonts w:ascii="Garamond" w:hAnsi="Garamond"/>
          <w:lang w:val="en-GB"/>
        </w:rPr>
      </w:pPr>
      <w:r w:rsidRPr="00865143">
        <w:rPr>
          <w:rFonts w:ascii="Garamond" w:hAnsi="Garamond"/>
          <w:lang w:val="en-GB"/>
        </w:rPr>
        <w:t>VAS Coverage in the last 6 months remained below 40%, with marked disparities between LGAs and by household wealth and education status.</w:t>
      </w:r>
    </w:p>
    <w:p w14:paraId="45922839" w14:textId="77777777" w:rsidR="00167106" w:rsidRPr="00865143" w:rsidRDefault="00167106" w:rsidP="00865143">
      <w:pPr>
        <w:pStyle w:val="ListParagraph"/>
        <w:numPr>
          <w:ilvl w:val="0"/>
          <w:numId w:val="27"/>
        </w:numPr>
        <w:spacing w:line="360" w:lineRule="auto"/>
        <w:jc w:val="both"/>
        <w:rPr>
          <w:rFonts w:ascii="Garamond" w:hAnsi="Garamond"/>
          <w:lang w:val="en-GB"/>
        </w:rPr>
      </w:pPr>
      <w:r w:rsidRPr="00865143">
        <w:rPr>
          <w:rFonts w:ascii="Garamond" w:hAnsi="Garamond"/>
          <w:lang w:val="en-GB"/>
        </w:rPr>
        <w:t>Coverage of Deworming and MUAC Screening was low, with less than one in three children receiving deworming, and only about a quarter receiving MUAC screening during the last campaign.</w:t>
      </w:r>
    </w:p>
    <w:p w14:paraId="131DF5D7" w14:textId="77777777" w:rsidR="00167106" w:rsidRPr="00865143" w:rsidRDefault="00167106" w:rsidP="00865143">
      <w:pPr>
        <w:pStyle w:val="ListParagraph"/>
        <w:numPr>
          <w:ilvl w:val="0"/>
          <w:numId w:val="27"/>
        </w:numPr>
        <w:spacing w:line="360" w:lineRule="auto"/>
        <w:jc w:val="both"/>
        <w:rPr>
          <w:rFonts w:ascii="Garamond" w:hAnsi="Garamond"/>
          <w:lang w:val="en-GB"/>
        </w:rPr>
      </w:pPr>
      <w:r w:rsidRPr="00865143">
        <w:rPr>
          <w:rFonts w:ascii="Garamond" w:hAnsi="Garamond"/>
          <w:lang w:val="en-GB"/>
        </w:rPr>
        <w:t>Immunization Coverage varied across LGAs, but was generally incomplete, indicating missed opportunities for integrated service delivery.</w:t>
      </w:r>
    </w:p>
    <w:p w14:paraId="7F6CF87E" w14:textId="77777777" w:rsidR="00167106" w:rsidRPr="00865143" w:rsidRDefault="00167106" w:rsidP="00865143">
      <w:pPr>
        <w:pStyle w:val="ListParagraph"/>
        <w:numPr>
          <w:ilvl w:val="0"/>
          <w:numId w:val="27"/>
        </w:numPr>
        <w:spacing w:line="360" w:lineRule="auto"/>
        <w:jc w:val="both"/>
        <w:rPr>
          <w:rFonts w:ascii="Garamond" w:hAnsi="Garamond"/>
          <w:lang w:val="en-GB"/>
        </w:rPr>
      </w:pPr>
      <w:r w:rsidRPr="00865143">
        <w:rPr>
          <w:rFonts w:ascii="Garamond" w:hAnsi="Garamond"/>
          <w:lang w:val="en-GB"/>
        </w:rPr>
        <w:t>Awareness of VAS was moderately high (68%), but only a third of caregivers had heard of MNCHW, highlighting communication gaps.</w:t>
      </w:r>
    </w:p>
    <w:p w14:paraId="1285ED3E" w14:textId="77777777" w:rsidR="00167106" w:rsidRPr="00865143" w:rsidRDefault="00167106" w:rsidP="00865143">
      <w:pPr>
        <w:pStyle w:val="ListParagraph"/>
        <w:numPr>
          <w:ilvl w:val="0"/>
          <w:numId w:val="27"/>
        </w:numPr>
        <w:spacing w:line="360" w:lineRule="auto"/>
        <w:jc w:val="both"/>
        <w:rPr>
          <w:rFonts w:ascii="Garamond" w:hAnsi="Garamond"/>
          <w:lang w:val="en-GB"/>
        </w:rPr>
      </w:pPr>
      <w:r w:rsidRPr="00865143">
        <w:rPr>
          <w:rFonts w:ascii="Garamond" w:hAnsi="Garamond"/>
          <w:lang w:val="en-GB"/>
        </w:rPr>
        <w:t>Health facility staff and community drug distributors were the main sources of VAS information, though significant proportions also cited town announcers, local leaders, and religious figures.</w:t>
      </w:r>
    </w:p>
    <w:p w14:paraId="36EB138E" w14:textId="77777777" w:rsidR="00167106" w:rsidRPr="00865143" w:rsidRDefault="00167106" w:rsidP="00865143">
      <w:pPr>
        <w:pStyle w:val="ListParagraph"/>
        <w:numPr>
          <w:ilvl w:val="0"/>
          <w:numId w:val="27"/>
        </w:numPr>
        <w:spacing w:line="360" w:lineRule="auto"/>
        <w:jc w:val="both"/>
        <w:rPr>
          <w:rFonts w:ascii="Garamond" w:hAnsi="Garamond"/>
          <w:lang w:val="en-GB"/>
        </w:rPr>
      </w:pPr>
      <w:r w:rsidRPr="00865143">
        <w:rPr>
          <w:rFonts w:ascii="Garamond" w:hAnsi="Garamond"/>
          <w:lang w:val="en-GB"/>
        </w:rPr>
        <w:t>Maternal intervention coverage was low, with less than 8% of eligible women reporting receipt of iron and folic acid supplementation or postnatal care during the last MNCHW.</w:t>
      </w:r>
    </w:p>
    <w:p w14:paraId="7359F29E" w14:textId="77777777" w:rsidR="00167106" w:rsidRPr="00865143" w:rsidRDefault="00167106" w:rsidP="00865143">
      <w:pPr>
        <w:pStyle w:val="ListParagraph"/>
        <w:numPr>
          <w:ilvl w:val="0"/>
          <w:numId w:val="27"/>
        </w:numPr>
        <w:spacing w:line="360" w:lineRule="auto"/>
        <w:jc w:val="both"/>
        <w:rPr>
          <w:rFonts w:ascii="Garamond" w:hAnsi="Garamond"/>
          <w:lang w:val="en-GB"/>
        </w:rPr>
      </w:pPr>
      <w:r w:rsidRPr="00865143">
        <w:rPr>
          <w:rFonts w:ascii="Garamond" w:hAnsi="Garamond"/>
          <w:lang w:val="en-GB"/>
        </w:rPr>
        <w:t>Equity gaps persist: Coverage for all interventions was consistently higher among wealthier and more educated households.</w:t>
      </w:r>
    </w:p>
    <w:p w14:paraId="5CBD94E7" w14:textId="77777777" w:rsidR="00167106" w:rsidRPr="00865143" w:rsidRDefault="00167106" w:rsidP="00865143">
      <w:pPr>
        <w:pStyle w:val="ListParagraph"/>
        <w:numPr>
          <w:ilvl w:val="0"/>
          <w:numId w:val="27"/>
        </w:numPr>
        <w:spacing w:line="360" w:lineRule="auto"/>
        <w:jc w:val="both"/>
        <w:rPr>
          <w:rFonts w:ascii="Garamond" w:hAnsi="Garamond"/>
          <w:lang w:val="en-GB"/>
        </w:rPr>
      </w:pPr>
      <w:r w:rsidRPr="00865143">
        <w:rPr>
          <w:rFonts w:ascii="Garamond" w:hAnsi="Garamond"/>
          <w:lang w:val="en-GB"/>
        </w:rPr>
        <w:t>High caregiver satisfaction was reported among those who accessed SMC and VAS services, but important data gaps and missing values were observed, especially for maternal health indicators.</w:t>
      </w:r>
    </w:p>
    <w:p w14:paraId="70064558" w14:textId="77777777" w:rsidR="00167106" w:rsidRPr="00167106" w:rsidRDefault="00167106" w:rsidP="00167106">
      <w:pPr>
        <w:spacing w:line="360" w:lineRule="auto"/>
        <w:jc w:val="both"/>
        <w:rPr>
          <w:rFonts w:ascii="Garamond" w:hAnsi="Garamond"/>
          <w:b/>
          <w:bCs/>
          <w:lang w:val="en-GB"/>
        </w:rPr>
      </w:pPr>
      <w:r w:rsidRPr="00167106">
        <w:rPr>
          <w:rFonts w:ascii="Garamond" w:hAnsi="Garamond"/>
          <w:b/>
          <w:bCs/>
          <w:lang w:val="en-GB"/>
        </w:rPr>
        <w:t>Interpretation and Implications</w:t>
      </w:r>
    </w:p>
    <w:p w14:paraId="1E5F8851" w14:textId="05389B87" w:rsidR="00753C51" w:rsidRDefault="00753C51" w:rsidP="00167106">
      <w:pPr>
        <w:spacing w:line="360" w:lineRule="auto"/>
        <w:jc w:val="both"/>
        <w:rPr>
          <w:rFonts w:ascii="Garamond" w:hAnsi="Garamond"/>
          <w:lang w:val="en-GB"/>
        </w:rPr>
      </w:pPr>
      <w:r>
        <w:rPr>
          <w:rFonts w:ascii="Garamond" w:hAnsi="Garamond"/>
          <w:lang w:val="en-GB"/>
        </w:rPr>
        <w:t>These findings show that SMC campaigns can effectively reach almost all eligible children. However, combining VAS with other health programs is still not fully achieved, especially for the poorest and least educated families. Relying on health facilities to provide VAS can worsen existing inequalities. Using SMC’s door-to-door approach is a better way to reach more families and improve fairness.</w:t>
      </w:r>
    </w:p>
    <w:p w14:paraId="7CBBE611" w14:textId="77777777" w:rsidR="00753C51" w:rsidRDefault="00753C51" w:rsidP="00167106">
      <w:pPr>
        <w:spacing w:line="360" w:lineRule="auto"/>
        <w:jc w:val="both"/>
        <w:rPr>
          <w:rFonts w:ascii="Garamond" w:hAnsi="Garamond"/>
          <w:lang w:val="en-GB"/>
        </w:rPr>
      </w:pPr>
    </w:p>
    <w:p w14:paraId="67CAA459" w14:textId="016E8686" w:rsidR="00167106" w:rsidRPr="00167106" w:rsidRDefault="00753C51" w:rsidP="00167106">
      <w:pPr>
        <w:spacing w:line="360" w:lineRule="auto"/>
        <w:jc w:val="both"/>
        <w:rPr>
          <w:rFonts w:ascii="Garamond" w:hAnsi="Garamond"/>
          <w:lang w:val="en-GB"/>
        </w:rPr>
      </w:pPr>
      <w:r>
        <w:rPr>
          <w:rFonts w:ascii="Garamond" w:hAnsi="Garamond"/>
          <w:lang w:val="en-GB"/>
        </w:rPr>
        <w:t>The low awareness of MNCHW and mixed recall of its sources indicate the need for better communication and strategies to encourage people. The limited coverage of maternal interventions and the lack of complete data highlight the need for stronger data systems and more community involvement.</w:t>
      </w:r>
    </w:p>
    <w:p w14:paraId="640FD015" w14:textId="77777777" w:rsidR="00167106" w:rsidRPr="00167106" w:rsidRDefault="00167106" w:rsidP="00167106">
      <w:pPr>
        <w:spacing w:line="360" w:lineRule="auto"/>
        <w:jc w:val="both"/>
        <w:rPr>
          <w:rFonts w:ascii="Garamond" w:hAnsi="Garamond"/>
          <w:b/>
          <w:bCs/>
          <w:lang w:val="en-GB"/>
        </w:rPr>
      </w:pPr>
      <w:r w:rsidRPr="00167106">
        <w:rPr>
          <w:rFonts w:ascii="Garamond" w:hAnsi="Garamond"/>
          <w:b/>
          <w:bCs/>
          <w:lang w:val="en-GB"/>
        </w:rPr>
        <w:t>Strengths and Limitations</w:t>
      </w:r>
    </w:p>
    <w:p w14:paraId="4DAEA918" w14:textId="55DBB49A" w:rsidR="00167106" w:rsidRPr="00167106" w:rsidRDefault="00753C51" w:rsidP="00167106">
      <w:pPr>
        <w:spacing w:line="360" w:lineRule="auto"/>
        <w:jc w:val="both"/>
        <w:rPr>
          <w:rFonts w:ascii="Garamond" w:hAnsi="Garamond"/>
          <w:lang w:val="en-GB"/>
        </w:rPr>
      </w:pPr>
      <w:r>
        <w:rPr>
          <w:rFonts w:ascii="Garamond" w:hAnsi="Garamond"/>
          <w:lang w:val="en-GB"/>
        </w:rPr>
        <w:t>This evaluation is strong because it uses a large, representative sample and combines both numbers and personal insights. However, it has some limitations. The study looks at data at one point in time, has high rates of missing information for some indicators, and may be affected by people’s memories and their desire to give socially acceptable answers about their experiences.</w:t>
      </w:r>
    </w:p>
    <w:p w14:paraId="4099D409" w14:textId="77777777" w:rsidR="00167106" w:rsidRPr="00167106" w:rsidRDefault="00167106" w:rsidP="00167106">
      <w:pPr>
        <w:spacing w:line="360" w:lineRule="auto"/>
        <w:jc w:val="both"/>
        <w:rPr>
          <w:rFonts w:ascii="Garamond" w:hAnsi="Garamond"/>
          <w:b/>
          <w:bCs/>
          <w:lang w:val="en-GB"/>
        </w:rPr>
      </w:pPr>
      <w:r w:rsidRPr="00167106">
        <w:rPr>
          <w:rFonts w:ascii="Garamond" w:hAnsi="Garamond"/>
          <w:b/>
          <w:bCs/>
          <w:lang w:val="en-GB"/>
        </w:rPr>
        <w:t>Policy and Programmatic Recommendations</w:t>
      </w:r>
    </w:p>
    <w:p w14:paraId="686840B2" w14:textId="77777777" w:rsidR="00167106" w:rsidRPr="00865143" w:rsidRDefault="00167106" w:rsidP="00865143">
      <w:pPr>
        <w:pStyle w:val="ListParagraph"/>
        <w:numPr>
          <w:ilvl w:val="0"/>
          <w:numId w:val="28"/>
        </w:numPr>
        <w:spacing w:line="360" w:lineRule="auto"/>
        <w:jc w:val="both"/>
        <w:rPr>
          <w:rFonts w:ascii="Garamond" w:hAnsi="Garamond"/>
          <w:lang w:val="en-GB"/>
        </w:rPr>
      </w:pPr>
      <w:r w:rsidRPr="00865143">
        <w:rPr>
          <w:rFonts w:ascii="Garamond" w:hAnsi="Garamond"/>
          <w:lang w:val="en-GB"/>
        </w:rPr>
        <w:t>Scale integrated delivery: Leverage SMC’s established reach for the co-delivery of VAS, deworming, and MUAC screening, with an explicit focus on reaching underserved and hard-to-reach populations.</w:t>
      </w:r>
    </w:p>
    <w:p w14:paraId="0286EE4B" w14:textId="77777777" w:rsidR="00167106" w:rsidRPr="00865143" w:rsidRDefault="00167106" w:rsidP="00865143">
      <w:pPr>
        <w:pStyle w:val="ListParagraph"/>
        <w:numPr>
          <w:ilvl w:val="0"/>
          <w:numId w:val="28"/>
        </w:numPr>
        <w:spacing w:line="360" w:lineRule="auto"/>
        <w:jc w:val="both"/>
        <w:rPr>
          <w:rFonts w:ascii="Garamond" w:hAnsi="Garamond"/>
          <w:lang w:val="en-GB"/>
        </w:rPr>
      </w:pPr>
      <w:r w:rsidRPr="00865143">
        <w:rPr>
          <w:rFonts w:ascii="Garamond" w:hAnsi="Garamond"/>
          <w:lang w:val="en-GB"/>
        </w:rPr>
        <w:t>Strengthen frontline health systems: Invest in training and supporting health facility staff and community drug distributors to ensure consistent, high-quality delivery and data collection.</w:t>
      </w:r>
    </w:p>
    <w:p w14:paraId="0D706FDE" w14:textId="52084087" w:rsidR="00167106" w:rsidRPr="00865143" w:rsidRDefault="00167106" w:rsidP="00865143">
      <w:pPr>
        <w:pStyle w:val="ListParagraph"/>
        <w:numPr>
          <w:ilvl w:val="0"/>
          <w:numId w:val="28"/>
        </w:numPr>
        <w:spacing w:line="360" w:lineRule="auto"/>
        <w:jc w:val="both"/>
        <w:rPr>
          <w:rFonts w:ascii="Garamond" w:hAnsi="Garamond"/>
          <w:lang w:val="en-GB"/>
        </w:rPr>
      </w:pPr>
      <w:r w:rsidRPr="00865143">
        <w:rPr>
          <w:rFonts w:ascii="Garamond" w:hAnsi="Garamond"/>
          <w:lang w:val="en-GB"/>
        </w:rPr>
        <w:t>Address equity gaps</w:t>
      </w:r>
      <w:r w:rsidR="00865143" w:rsidRPr="00865143">
        <w:rPr>
          <w:rFonts w:ascii="Garamond" w:hAnsi="Garamond"/>
          <w:lang w:val="en-GB"/>
        </w:rPr>
        <w:t xml:space="preserve"> by targeting communication and service delivery efforts toward poorer and less educated </w:t>
      </w:r>
      <w:proofErr w:type="gramStart"/>
      <w:r w:rsidR="00865143" w:rsidRPr="00865143">
        <w:rPr>
          <w:rFonts w:ascii="Garamond" w:hAnsi="Garamond"/>
          <w:lang w:val="en-GB"/>
        </w:rPr>
        <w:t>households, and</w:t>
      </w:r>
      <w:proofErr w:type="gramEnd"/>
      <w:r w:rsidR="00865143" w:rsidRPr="00865143">
        <w:rPr>
          <w:rFonts w:ascii="Garamond" w:hAnsi="Garamond"/>
          <w:lang w:val="en-GB"/>
        </w:rPr>
        <w:t xml:space="preserve"> adapting</w:t>
      </w:r>
      <w:r w:rsidRPr="00865143">
        <w:rPr>
          <w:rFonts w:ascii="Garamond" w:hAnsi="Garamond"/>
          <w:lang w:val="en-GB"/>
        </w:rPr>
        <w:t xml:space="preserve"> strategies to overcome structural barriers.</w:t>
      </w:r>
    </w:p>
    <w:p w14:paraId="2D80491B" w14:textId="06676B66" w:rsidR="00167106" w:rsidRPr="00865143" w:rsidRDefault="00167106" w:rsidP="00865143">
      <w:pPr>
        <w:pStyle w:val="ListParagraph"/>
        <w:numPr>
          <w:ilvl w:val="0"/>
          <w:numId w:val="28"/>
        </w:numPr>
        <w:spacing w:line="360" w:lineRule="auto"/>
        <w:jc w:val="both"/>
        <w:rPr>
          <w:rFonts w:ascii="Garamond" w:hAnsi="Garamond"/>
          <w:lang w:val="en-GB"/>
        </w:rPr>
      </w:pPr>
      <w:r w:rsidRPr="00865143">
        <w:rPr>
          <w:rFonts w:ascii="Garamond" w:hAnsi="Garamond"/>
          <w:lang w:val="en-GB"/>
        </w:rPr>
        <w:t>Enhance data systems</w:t>
      </w:r>
      <w:r w:rsidR="00865143" w:rsidRPr="00865143">
        <w:rPr>
          <w:rFonts w:ascii="Garamond" w:hAnsi="Garamond"/>
          <w:lang w:val="en-GB"/>
        </w:rPr>
        <w:t xml:space="preserve"> to improve data completeness and quality, particularly for maternal indicators, enabling</w:t>
      </w:r>
      <w:r w:rsidRPr="00865143">
        <w:rPr>
          <w:rFonts w:ascii="Garamond" w:hAnsi="Garamond"/>
          <w:lang w:val="en-GB"/>
        </w:rPr>
        <w:t xml:space="preserve"> ongoing monitoring and program improvement.</w:t>
      </w:r>
    </w:p>
    <w:p w14:paraId="2D8156CB" w14:textId="77777777" w:rsidR="00167106" w:rsidRPr="00865143" w:rsidRDefault="00167106" w:rsidP="00865143">
      <w:pPr>
        <w:pStyle w:val="ListParagraph"/>
        <w:numPr>
          <w:ilvl w:val="0"/>
          <w:numId w:val="28"/>
        </w:numPr>
        <w:spacing w:line="360" w:lineRule="auto"/>
        <w:jc w:val="both"/>
        <w:rPr>
          <w:rFonts w:ascii="Garamond" w:hAnsi="Garamond"/>
          <w:lang w:val="en-GB"/>
        </w:rPr>
      </w:pPr>
      <w:r w:rsidRPr="00865143">
        <w:rPr>
          <w:rFonts w:ascii="Garamond" w:hAnsi="Garamond"/>
          <w:lang w:val="en-GB"/>
        </w:rPr>
        <w:t>Foster community engagement: Engage local leaders, religious figures, and town announcers more systematically to increase campaign awareness and trust.</w:t>
      </w:r>
    </w:p>
    <w:p w14:paraId="45243A2F" w14:textId="77777777" w:rsidR="00167106" w:rsidRPr="00167106" w:rsidRDefault="00167106" w:rsidP="00167106">
      <w:pPr>
        <w:spacing w:line="360" w:lineRule="auto"/>
        <w:jc w:val="both"/>
        <w:rPr>
          <w:rFonts w:ascii="Garamond" w:hAnsi="Garamond"/>
          <w:lang w:val="en-GB"/>
        </w:rPr>
      </w:pPr>
      <w:r w:rsidRPr="00167106">
        <w:rPr>
          <w:rFonts w:ascii="Garamond" w:hAnsi="Garamond"/>
          <w:lang w:val="en-GB"/>
        </w:rPr>
        <w:t>The baseline evidence demonstrates both the opportunity and need for integrating VAS into SMC campaigns in Bauchi State. This approach can help bridge critical coverage and equity gaps for child survival interventions. Ongoing monitoring, qualitative research, and adaptive program design will be crucial as the integration proceeds. The lessons learned will inform broader national and regional efforts to optimize child health service delivery in malaria-endemic, resource-limited settings.</w:t>
      </w:r>
    </w:p>
    <w:p w14:paraId="44A6C7E0" w14:textId="427737F8" w:rsidR="00AC4E03" w:rsidRDefault="00000000" w:rsidP="007D1668">
      <w:pPr>
        <w:pStyle w:val="Heading1"/>
        <w:rPr>
          <w:rFonts w:ascii="Garamond" w:hAnsi="Garamond"/>
        </w:rPr>
      </w:pPr>
      <w:bookmarkStart w:id="1" w:name="_Toc201650776"/>
      <w:r w:rsidRPr="005871E7">
        <w:rPr>
          <w:rFonts w:ascii="Garamond" w:hAnsi="Garamond"/>
        </w:rPr>
        <w:lastRenderedPageBreak/>
        <w:t>Introduction</w:t>
      </w:r>
      <w:bookmarkEnd w:id="1"/>
    </w:p>
    <w:p w14:paraId="57397B1B" w14:textId="77777777" w:rsidR="00B741C6" w:rsidRPr="00B741C6" w:rsidRDefault="00B741C6" w:rsidP="007D1668">
      <w:pPr>
        <w:pStyle w:val="BodyText"/>
        <w:spacing w:line="360" w:lineRule="auto"/>
        <w:jc w:val="both"/>
        <w:outlineLvl w:val="1"/>
        <w:rPr>
          <w:rFonts w:ascii="Garamond" w:hAnsi="Garamond"/>
          <w:b/>
          <w:bCs/>
          <w:lang w:val="en-GB"/>
        </w:rPr>
      </w:pPr>
      <w:bookmarkStart w:id="2" w:name="_Toc201650777"/>
      <w:r w:rsidRPr="00B741C6">
        <w:rPr>
          <w:rFonts w:ascii="Garamond" w:hAnsi="Garamond"/>
          <w:b/>
          <w:bCs/>
          <w:lang w:val="en-GB"/>
        </w:rPr>
        <w:t>1.1 Background on Malaria Consortium and Context</w:t>
      </w:r>
      <w:bookmarkEnd w:id="2"/>
    </w:p>
    <w:p w14:paraId="5334AA4D" w14:textId="5750D785"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 xml:space="preserve">Malaria Consortium is a leading international non-profit organization dedicated to the prevention, control, and treatment of malaria and other communicable diseases, particularly in Africa and Asia. Operating in Nigeria since 2008, the organization has supported the Federal Ministry of Health (FMOH) and sub-national governments in delivering high-impact </w:t>
      </w:r>
      <w:r>
        <w:rPr>
          <w:rFonts w:ascii="Garamond" w:hAnsi="Garamond"/>
          <w:lang w:val="en-GB"/>
        </w:rPr>
        <w:t>interventions to improve child survival</w:t>
      </w:r>
      <w:r w:rsidRPr="00B741C6">
        <w:rPr>
          <w:rFonts w:ascii="Garamond" w:hAnsi="Garamond"/>
          <w:lang w:val="en-GB"/>
        </w:rPr>
        <w:t>. These include Seasonal Malaria Chemoprevention (SMC) and Vitamin A Supplementation (VAS)—both endorsed by the World Health Organization (WHO) as evidence-based strategies to reduce under-five morbidity and mortality in malaria-endemic settings.</w:t>
      </w:r>
    </w:p>
    <w:p w14:paraId="2676309A"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 xml:space="preserve">In the Sahelian zone of northern Nigeria, SMC is delivered using </w:t>
      </w:r>
      <w:proofErr w:type="spellStart"/>
      <w:r w:rsidRPr="00B741C6">
        <w:rPr>
          <w:rFonts w:ascii="Garamond" w:hAnsi="Garamond"/>
          <w:lang w:val="en-GB"/>
        </w:rPr>
        <w:t>sulfadoxine</w:t>
      </w:r>
      <w:proofErr w:type="spellEnd"/>
      <w:r w:rsidRPr="00B741C6">
        <w:rPr>
          <w:rFonts w:ascii="Garamond" w:hAnsi="Garamond"/>
          <w:lang w:val="en-GB"/>
        </w:rPr>
        <w:t>-pyrimethamine plus amodiaquine (SPAQ) for children aged 3–59 months during the rainy season. Since its introduction, SMC has consistently achieved high administrative and survey-based coverage (&gt;90%) due to its house-to-house delivery model and community-based workforce. Conversely, VAS, which is critical for child immune function and survival, is largely delivered through biannual Maternal, Newborn and Child Health Week (MNCHW) campaigns targeting children aged 6–59 months. However, these campaigns often suffer from inconsistent funding, limited geographic reach, and inadequate community engagement—resulting in persistently low coverage.</w:t>
      </w:r>
    </w:p>
    <w:p w14:paraId="1F335B9D" w14:textId="77777777" w:rsidR="00B741C6" w:rsidRPr="00B741C6" w:rsidRDefault="00B741C6" w:rsidP="007D1668">
      <w:pPr>
        <w:pStyle w:val="BodyText"/>
        <w:spacing w:line="360" w:lineRule="auto"/>
        <w:jc w:val="both"/>
        <w:outlineLvl w:val="1"/>
        <w:rPr>
          <w:rFonts w:ascii="Garamond" w:hAnsi="Garamond"/>
          <w:b/>
          <w:bCs/>
          <w:lang w:val="en-GB"/>
        </w:rPr>
      </w:pPr>
      <w:bookmarkStart w:id="3" w:name="_Toc201650778"/>
      <w:r w:rsidRPr="00B741C6">
        <w:rPr>
          <w:rFonts w:ascii="Garamond" w:hAnsi="Garamond"/>
          <w:b/>
          <w:bCs/>
          <w:lang w:val="en-GB"/>
        </w:rPr>
        <w:t>1.2 National Guidelines and Coverage Gaps</w:t>
      </w:r>
      <w:bookmarkEnd w:id="3"/>
    </w:p>
    <w:p w14:paraId="104E5D72" w14:textId="0440E3C1"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 Nigerian national guidelines recommend that children aged 6–59 months receive two high-dose VAS capsules (100,000 IU for 6–11 months and 200,000 IU for 12–59 months) annually. Despite this recommendation, Vitamin A coverage remains suboptimal across the country. The 2018 Nigeria Demographic and Health Survey (NDHS) estimated national VAS coverage at 45%, far below the target coverage of 80% required to confer public health impact. This coverage disparity is further accentuated in remote and underserved areas, where routine outreach systems</w:t>
      </w:r>
      <w:r>
        <w:rPr>
          <w:rFonts w:ascii="Garamond" w:hAnsi="Garamond"/>
          <w:lang w:val="en-GB"/>
        </w:rPr>
        <w:t>, such as MNCHW,</w:t>
      </w:r>
      <w:r w:rsidRPr="00B741C6">
        <w:rPr>
          <w:rFonts w:ascii="Garamond" w:hAnsi="Garamond"/>
          <w:lang w:val="en-GB"/>
        </w:rPr>
        <w:t xml:space="preserve"> often fail to reach the last mile.</w:t>
      </w:r>
    </w:p>
    <w:p w14:paraId="296395DD" w14:textId="45DD4FA6"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By contrast, the SMC programme has demonstrated operational efficiency, scale, and community trust</w:t>
      </w:r>
      <w:r>
        <w:rPr>
          <w:rFonts w:ascii="Garamond" w:hAnsi="Garamond"/>
          <w:lang w:val="en-GB"/>
        </w:rPr>
        <w:t xml:space="preserve">, </w:t>
      </w:r>
      <w:r w:rsidRPr="00B741C6">
        <w:rPr>
          <w:rFonts w:ascii="Garamond" w:hAnsi="Garamond"/>
          <w:lang w:val="en-GB"/>
        </w:rPr>
        <w:t xml:space="preserve">delivering chemoprevention to more than 24 million children across 18 northern states annually. Recognizing this disparity, there is growing momentum among policymakers and program </w:t>
      </w:r>
      <w:r w:rsidRPr="00B741C6">
        <w:rPr>
          <w:rFonts w:ascii="Garamond" w:hAnsi="Garamond"/>
          <w:lang w:val="en-GB"/>
        </w:rPr>
        <w:lastRenderedPageBreak/>
        <w:t>implementers to explore integrated delivery platforms that can expand the reach of essential child survival interventions, including VAS.</w:t>
      </w:r>
    </w:p>
    <w:p w14:paraId="6C7902A5" w14:textId="77777777" w:rsidR="00B741C6" w:rsidRPr="00B741C6" w:rsidRDefault="00B741C6" w:rsidP="007D1668">
      <w:pPr>
        <w:pStyle w:val="BodyText"/>
        <w:spacing w:line="360" w:lineRule="auto"/>
        <w:jc w:val="both"/>
        <w:outlineLvl w:val="1"/>
        <w:rPr>
          <w:rFonts w:ascii="Garamond" w:hAnsi="Garamond"/>
          <w:b/>
          <w:bCs/>
          <w:lang w:val="en-GB"/>
        </w:rPr>
      </w:pPr>
      <w:bookmarkStart w:id="4" w:name="_Toc201650779"/>
      <w:r w:rsidRPr="00B741C6">
        <w:rPr>
          <w:rFonts w:ascii="Garamond" w:hAnsi="Garamond"/>
          <w:b/>
          <w:bCs/>
          <w:lang w:val="en-GB"/>
        </w:rPr>
        <w:t>1.3 Rationale for Integrating VAS into SMC</w:t>
      </w:r>
      <w:bookmarkEnd w:id="4"/>
    </w:p>
    <w:p w14:paraId="79675917" w14:textId="0EC9B2C8"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 integration of VAS into SMC delivery represents a strategic opportunity to leverage the extensive reach, logistical structure, and trained personnel of the SMC programme to improve VAS uptake. Lessons from prior pilot studies in Sokoto (2021) and Bauchi (2022) demonstrated the feasibility and acceptability of bundling VAS with SMC using a door-to-door approach. These pilots highlighted not only high community receptivity but also the potential to reduce operational duplication, streamline commodity distribution, and maximize contact with eligible children</w:t>
      </w:r>
      <w:r>
        <w:rPr>
          <w:rFonts w:ascii="Garamond" w:hAnsi="Garamond"/>
          <w:lang w:val="en-GB"/>
        </w:rPr>
        <w:t xml:space="preserve">, </w:t>
      </w:r>
      <w:r w:rsidRPr="00B741C6">
        <w:rPr>
          <w:rFonts w:ascii="Garamond" w:hAnsi="Garamond"/>
          <w:lang w:val="en-GB"/>
        </w:rPr>
        <w:t>especially in rural areas with limited access to health facilities.</w:t>
      </w:r>
    </w:p>
    <w:p w14:paraId="0CD1CFF4"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 current integrated campaign seeks to build on these findings by delivering VAS during SMC cycles through trained community drug distributors (CDDs). Importantly, to avoid duplicate dosing and to allow clearer measurement of integration effects, VAS was intentionally excluded from the first round of MNCHW in 2025. This policy adjustment provides a unique opportunity to assess both the direct coverage of VAS through SMC and the indirect effects of VAS removal on the uptake of other MNCHW services.</w:t>
      </w:r>
    </w:p>
    <w:p w14:paraId="68237C36" w14:textId="77777777" w:rsidR="00B741C6" w:rsidRPr="00B741C6" w:rsidRDefault="00B741C6" w:rsidP="007D1668">
      <w:pPr>
        <w:pStyle w:val="BodyText"/>
        <w:spacing w:line="360" w:lineRule="auto"/>
        <w:jc w:val="both"/>
        <w:outlineLvl w:val="1"/>
        <w:rPr>
          <w:rFonts w:ascii="Garamond" w:hAnsi="Garamond"/>
          <w:b/>
          <w:bCs/>
          <w:lang w:val="en-GB"/>
        </w:rPr>
      </w:pPr>
      <w:bookmarkStart w:id="5" w:name="_Toc201650780"/>
      <w:r w:rsidRPr="00B741C6">
        <w:rPr>
          <w:rFonts w:ascii="Garamond" w:hAnsi="Garamond"/>
          <w:b/>
          <w:bCs/>
          <w:lang w:val="en-GB"/>
        </w:rPr>
        <w:t>1.4 Description of the Integrated Campaign Strategy</w:t>
      </w:r>
      <w:bookmarkEnd w:id="5"/>
    </w:p>
    <w:p w14:paraId="346102C7"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 xml:space="preserve">In collaboration with the Bauchi State Primary Health Care Development Agency (BSPHCDA) and with funding from </w:t>
      </w:r>
      <w:proofErr w:type="spellStart"/>
      <w:r w:rsidRPr="00B741C6">
        <w:rPr>
          <w:rFonts w:ascii="Garamond" w:hAnsi="Garamond"/>
          <w:lang w:val="en-GB"/>
        </w:rPr>
        <w:t>GiveWell</w:t>
      </w:r>
      <w:proofErr w:type="spellEnd"/>
      <w:r w:rsidRPr="00B741C6">
        <w:rPr>
          <w:rFonts w:ascii="Garamond" w:hAnsi="Garamond"/>
          <w:lang w:val="en-GB"/>
        </w:rPr>
        <w:t>, Malaria Consortium launched a state-wide integrated SMC+VAS campaign in 2025. The approach involves:</w:t>
      </w:r>
    </w:p>
    <w:p w14:paraId="08B459FF" w14:textId="77777777" w:rsidR="00B741C6" w:rsidRPr="00B741C6" w:rsidRDefault="00B741C6" w:rsidP="00B741C6">
      <w:pPr>
        <w:pStyle w:val="BodyText"/>
        <w:numPr>
          <w:ilvl w:val="0"/>
          <w:numId w:val="10"/>
        </w:numPr>
        <w:spacing w:line="276" w:lineRule="auto"/>
        <w:jc w:val="both"/>
        <w:rPr>
          <w:rFonts w:ascii="Garamond" w:hAnsi="Garamond"/>
          <w:lang w:val="en-GB"/>
        </w:rPr>
      </w:pPr>
      <w:r w:rsidRPr="00B741C6">
        <w:rPr>
          <w:rFonts w:ascii="Garamond" w:hAnsi="Garamond"/>
          <w:lang w:val="en-GB"/>
        </w:rPr>
        <w:t>Co-packaging and co-distribution of SPAQ and vitamin A capsules</w:t>
      </w:r>
    </w:p>
    <w:p w14:paraId="09ED4CFA" w14:textId="77777777" w:rsidR="00B741C6" w:rsidRPr="00B741C6" w:rsidRDefault="00B741C6" w:rsidP="00B741C6">
      <w:pPr>
        <w:pStyle w:val="BodyText"/>
        <w:numPr>
          <w:ilvl w:val="0"/>
          <w:numId w:val="10"/>
        </w:numPr>
        <w:spacing w:line="276" w:lineRule="auto"/>
        <w:jc w:val="both"/>
        <w:rPr>
          <w:rFonts w:ascii="Garamond" w:hAnsi="Garamond"/>
          <w:lang w:val="en-GB"/>
        </w:rPr>
      </w:pPr>
      <w:r w:rsidRPr="00B741C6">
        <w:rPr>
          <w:rFonts w:ascii="Garamond" w:hAnsi="Garamond"/>
          <w:lang w:val="en-GB"/>
        </w:rPr>
        <w:t>Training of CDDs on safe administration, dosage protocols, and caregiver communication for both interventions</w:t>
      </w:r>
    </w:p>
    <w:p w14:paraId="6FAED547" w14:textId="77777777" w:rsidR="00B741C6" w:rsidRPr="00B741C6" w:rsidRDefault="00B741C6" w:rsidP="00B741C6">
      <w:pPr>
        <w:pStyle w:val="BodyText"/>
        <w:numPr>
          <w:ilvl w:val="0"/>
          <w:numId w:val="10"/>
        </w:numPr>
        <w:spacing w:line="276" w:lineRule="auto"/>
        <w:jc w:val="both"/>
        <w:rPr>
          <w:rFonts w:ascii="Garamond" w:hAnsi="Garamond"/>
          <w:lang w:val="en-GB"/>
        </w:rPr>
      </w:pPr>
      <w:r w:rsidRPr="00B741C6">
        <w:rPr>
          <w:rFonts w:ascii="Garamond" w:hAnsi="Garamond"/>
          <w:lang w:val="en-GB"/>
        </w:rPr>
        <w:t>House-to-house delivery across all LGAs during each SMC cycle</w:t>
      </w:r>
    </w:p>
    <w:p w14:paraId="2139096B" w14:textId="77777777" w:rsidR="00B741C6" w:rsidRPr="00B741C6" w:rsidRDefault="00B741C6" w:rsidP="00B741C6">
      <w:pPr>
        <w:pStyle w:val="BodyText"/>
        <w:numPr>
          <w:ilvl w:val="0"/>
          <w:numId w:val="10"/>
        </w:numPr>
        <w:spacing w:line="276" w:lineRule="auto"/>
        <w:jc w:val="both"/>
        <w:rPr>
          <w:rFonts w:ascii="Garamond" w:hAnsi="Garamond"/>
          <w:lang w:val="en-GB"/>
        </w:rPr>
      </w:pPr>
      <w:r w:rsidRPr="00B741C6">
        <w:rPr>
          <w:rFonts w:ascii="Garamond" w:hAnsi="Garamond"/>
          <w:lang w:val="en-GB"/>
        </w:rPr>
        <w:t xml:space="preserve">Exclusion of VAS from MNCHW during the first biannual round to avoid overlap and measure </w:t>
      </w:r>
      <w:proofErr w:type="spellStart"/>
      <w:r w:rsidRPr="00B741C6">
        <w:rPr>
          <w:rFonts w:ascii="Garamond" w:hAnsi="Garamond"/>
          <w:lang w:val="en-GB"/>
        </w:rPr>
        <w:t>behavioral</w:t>
      </w:r>
      <w:proofErr w:type="spellEnd"/>
      <w:r w:rsidRPr="00B741C6">
        <w:rPr>
          <w:rFonts w:ascii="Garamond" w:hAnsi="Garamond"/>
          <w:lang w:val="en-GB"/>
        </w:rPr>
        <w:t xml:space="preserve"> and service-level impacts</w:t>
      </w:r>
    </w:p>
    <w:p w14:paraId="242B14D5"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This baseline evaluation, conducted in April 2025 across all 20 LGAs of Bauchi State, is part of a broader mixed-methods effectiveness study. The survey targets two primary beneficiary groups:</w:t>
      </w:r>
    </w:p>
    <w:p w14:paraId="23CAE362" w14:textId="77777777" w:rsidR="00B741C6" w:rsidRPr="00B741C6" w:rsidRDefault="00B741C6" w:rsidP="00B741C6">
      <w:pPr>
        <w:pStyle w:val="BodyText"/>
        <w:numPr>
          <w:ilvl w:val="0"/>
          <w:numId w:val="9"/>
        </w:numPr>
        <w:spacing w:line="276" w:lineRule="auto"/>
        <w:jc w:val="both"/>
        <w:rPr>
          <w:rFonts w:ascii="Garamond" w:hAnsi="Garamond"/>
          <w:lang w:val="en-GB"/>
        </w:rPr>
      </w:pPr>
      <w:r w:rsidRPr="00B741C6">
        <w:rPr>
          <w:rFonts w:ascii="Garamond" w:hAnsi="Garamond"/>
          <w:lang w:val="en-GB"/>
        </w:rPr>
        <w:lastRenderedPageBreak/>
        <w:t>Children aged 6–59 months, to assess coverage of VAS, SMC, and related child health services</w:t>
      </w:r>
    </w:p>
    <w:p w14:paraId="3981DC53" w14:textId="77777777" w:rsidR="00B741C6" w:rsidRPr="00B741C6" w:rsidRDefault="00B741C6" w:rsidP="00B741C6">
      <w:pPr>
        <w:pStyle w:val="BodyText"/>
        <w:numPr>
          <w:ilvl w:val="0"/>
          <w:numId w:val="9"/>
        </w:numPr>
        <w:spacing w:line="276" w:lineRule="auto"/>
        <w:jc w:val="both"/>
        <w:rPr>
          <w:rFonts w:ascii="Garamond" w:hAnsi="Garamond"/>
          <w:lang w:val="en-GB"/>
        </w:rPr>
      </w:pPr>
      <w:r w:rsidRPr="00B741C6">
        <w:rPr>
          <w:rFonts w:ascii="Garamond" w:hAnsi="Garamond"/>
          <w:lang w:val="en-GB"/>
        </w:rPr>
        <w:t>Women of childbearing age (15–49 years), to evaluate maternal health service utilization and community awareness</w:t>
      </w:r>
    </w:p>
    <w:p w14:paraId="45EE3F0F" w14:textId="77777777" w:rsidR="00B741C6" w:rsidRDefault="00B741C6" w:rsidP="00B741C6">
      <w:pPr>
        <w:pStyle w:val="BodyText"/>
        <w:spacing w:line="360" w:lineRule="auto"/>
        <w:jc w:val="both"/>
        <w:rPr>
          <w:rFonts w:ascii="Garamond" w:hAnsi="Garamond"/>
          <w:lang w:val="en-GB"/>
        </w:rPr>
      </w:pPr>
      <w:r w:rsidRPr="00B741C6">
        <w:rPr>
          <w:rFonts w:ascii="Garamond" w:hAnsi="Garamond"/>
          <w:lang w:val="en-GB"/>
        </w:rPr>
        <w:t>The findings from this baseline will provide critical insights into the coverage, quality, feasibility, and equity implications of integrated VAS+SMC delivery, while informing national-level decisions on potential scale-up.</w:t>
      </w:r>
    </w:p>
    <w:p w14:paraId="6E9CF0FD" w14:textId="77777777" w:rsidR="00B741C6" w:rsidRPr="00B741C6" w:rsidRDefault="00B741C6" w:rsidP="007D1668">
      <w:pPr>
        <w:pStyle w:val="BodyText"/>
        <w:spacing w:line="360" w:lineRule="auto"/>
        <w:jc w:val="both"/>
        <w:outlineLvl w:val="0"/>
        <w:rPr>
          <w:rFonts w:ascii="Garamond" w:hAnsi="Garamond"/>
          <w:b/>
          <w:bCs/>
          <w:lang w:val="en-GB"/>
        </w:rPr>
      </w:pPr>
      <w:bookmarkStart w:id="6" w:name="_Toc201650781"/>
      <w:r w:rsidRPr="00B741C6">
        <w:rPr>
          <w:rFonts w:ascii="Garamond" w:hAnsi="Garamond"/>
          <w:b/>
          <w:bCs/>
          <w:lang w:val="en-GB"/>
        </w:rPr>
        <w:t>3. Study Objectives</w:t>
      </w:r>
      <w:bookmarkEnd w:id="6"/>
    </w:p>
    <w:p w14:paraId="15D60F1A" w14:textId="77777777" w:rsidR="00B741C6" w:rsidRPr="00B741C6" w:rsidRDefault="00B741C6" w:rsidP="007D1668">
      <w:pPr>
        <w:pStyle w:val="BodyText"/>
        <w:spacing w:line="360" w:lineRule="auto"/>
        <w:jc w:val="both"/>
        <w:outlineLvl w:val="1"/>
        <w:rPr>
          <w:rFonts w:ascii="Garamond" w:hAnsi="Garamond"/>
          <w:b/>
          <w:bCs/>
          <w:lang w:val="en-GB"/>
        </w:rPr>
      </w:pPr>
      <w:bookmarkStart w:id="7" w:name="_Toc201650782"/>
      <w:r w:rsidRPr="00B741C6">
        <w:rPr>
          <w:rFonts w:ascii="Garamond" w:hAnsi="Garamond"/>
          <w:b/>
          <w:bCs/>
          <w:lang w:val="en-GB"/>
        </w:rPr>
        <w:t>3.1. Aim of the Study</w:t>
      </w:r>
      <w:bookmarkEnd w:id="7"/>
    </w:p>
    <w:p w14:paraId="500E0F38"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 primary aim of this baseline evaluation is to generate robust empirical evidence on the effectiveness, operational feasibility, and community acceptability of integrating Vitamin A Supplementation (VAS) into Seasonal Malaria Chemoprevention (SMC) campaigns in Bauchi State, Nigeria. This integration seeks to leverage the established infrastructure, high reach, and logistical efficiencies of the SMC platform to enhance the uptake of VAS among children aged 6–59 months. By examining both the direct effects on service coverage and the broader implications for maternal and child health interventions, the study aspires to inform the strategic design, scale-up, and policy decisions regarding integrated delivery models for child survival programs.</w:t>
      </w:r>
    </w:p>
    <w:p w14:paraId="466AA8B7" w14:textId="77777777" w:rsidR="00B741C6" w:rsidRPr="00B741C6" w:rsidRDefault="00B741C6" w:rsidP="007D1668">
      <w:pPr>
        <w:pStyle w:val="BodyText"/>
        <w:spacing w:line="360" w:lineRule="auto"/>
        <w:jc w:val="both"/>
        <w:outlineLvl w:val="1"/>
        <w:rPr>
          <w:rFonts w:ascii="Garamond" w:hAnsi="Garamond"/>
          <w:b/>
          <w:bCs/>
          <w:lang w:val="en-GB"/>
        </w:rPr>
      </w:pPr>
      <w:bookmarkStart w:id="8" w:name="_Toc201650783"/>
      <w:r w:rsidRPr="00B741C6">
        <w:rPr>
          <w:rFonts w:ascii="Garamond" w:hAnsi="Garamond"/>
          <w:b/>
          <w:bCs/>
          <w:lang w:val="en-GB"/>
        </w:rPr>
        <w:t>3.2. Specific Objectives</w:t>
      </w:r>
      <w:bookmarkEnd w:id="8"/>
    </w:p>
    <w:p w14:paraId="04D7585D"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 study is anchored on a set of interrelated objectives that span both effectiveness and operational domains, with an emphasis on coverage assessment, community perspectives, and health system dynamics.</w:t>
      </w:r>
    </w:p>
    <w:p w14:paraId="5465A021" w14:textId="77777777" w:rsidR="00B741C6" w:rsidRPr="00B741C6" w:rsidRDefault="00B741C6" w:rsidP="00726C48">
      <w:pPr>
        <w:pStyle w:val="BodyText"/>
        <w:numPr>
          <w:ilvl w:val="0"/>
          <w:numId w:val="11"/>
        </w:numPr>
        <w:spacing w:line="360" w:lineRule="auto"/>
        <w:jc w:val="both"/>
        <w:rPr>
          <w:rFonts w:ascii="Garamond" w:hAnsi="Garamond"/>
          <w:lang w:val="en-GB"/>
        </w:rPr>
      </w:pPr>
      <w:r w:rsidRPr="00B741C6">
        <w:rPr>
          <w:rFonts w:ascii="Garamond" w:hAnsi="Garamond"/>
          <w:lang w:val="en-GB"/>
        </w:rPr>
        <w:t>The primary objectives focus on determining the influence of integrating VAS into SMC on the uptake of key Maternal, Newborn, and Child Health Week (MNCHW) interventions; assessing perceptions among health workers and policymakers regarding the exclusion of VAS from MNCHW; establishing baseline VAS coverage prior to and following integration with SMC; and evaluating the coverage and quality of SMC delivery within the context of the integrated campaign.</w:t>
      </w:r>
    </w:p>
    <w:p w14:paraId="59BD029B" w14:textId="77777777" w:rsidR="00B741C6" w:rsidRPr="00B741C6" w:rsidRDefault="00B741C6" w:rsidP="00726C48">
      <w:pPr>
        <w:pStyle w:val="BodyText"/>
        <w:numPr>
          <w:ilvl w:val="0"/>
          <w:numId w:val="11"/>
        </w:numPr>
        <w:spacing w:line="360" w:lineRule="auto"/>
        <w:jc w:val="both"/>
        <w:rPr>
          <w:rFonts w:ascii="Garamond" w:hAnsi="Garamond"/>
          <w:lang w:val="en-GB"/>
        </w:rPr>
      </w:pPr>
      <w:r w:rsidRPr="00B741C6">
        <w:rPr>
          <w:rFonts w:ascii="Garamond" w:hAnsi="Garamond"/>
          <w:lang w:val="en-GB"/>
        </w:rPr>
        <w:t xml:space="preserve">Secondary objectives are concerned with unpacking the contextual and structural factors that shape the uptake of VAS and other MNCHW services. These include identifying barriers </w:t>
      </w:r>
      <w:r w:rsidRPr="00B741C6">
        <w:rPr>
          <w:rFonts w:ascii="Garamond" w:hAnsi="Garamond"/>
          <w:lang w:val="en-GB"/>
        </w:rPr>
        <w:lastRenderedPageBreak/>
        <w:t>and facilitators to the integrated model from both community and health system perspectives, as well as assessing public awareness, acceptability, and trust in integrated campaign models. Together, these objectives provide a multi-dimensional understanding of the potential benefits, challenges, and equity implications of VAS-SMC integration.</w:t>
      </w:r>
    </w:p>
    <w:p w14:paraId="4319CE5F" w14:textId="77777777" w:rsidR="00B741C6" w:rsidRPr="00B741C6" w:rsidRDefault="00B741C6" w:rsidP="007D1668">
      <w:pPr>
        <w:pStyle w:val="BodyText"/>
        <w:spacing w:line="360" w:lineRule="auto"/>
        <w:jc w:val="both"/>
        <w:outlineLvl w:val="1"/>
        <w:rPr>
          <w:rFonts w:ascii="Garamond" w:hAnsi="Garamond"/>
          <w:b/>
          <w:bCs/>
          <w:lang w:val="en-GB"/>
        </w:rPr>
      </w:pPr>
      <w:bookmarkStart w:id="9" w:name="_Toc201650784"/>
      <w:r w:rsidRPr="00B741C6">
        <w:rPr>
          <w:rFonts w:ascii="Garamond" w:hAnsi="Garamond"/>
          <w:b/>
          <w:bCs/>
          <w:lang w:val="en-GB"/>
        </w:rPr>
        <w:t>3.3. Research Questions</w:t>
      </w:r>
      <w:bookmarkEnd w:id="9"/>
    </w:p>
    <w:p w14:paraId="500EF917"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Guided by the objectives, the study seeks to address several critical research questions that delve into both outcome and process dimensions of the intervention. These questions include: What are the baseline coverage levels of VAS, SMC, deworming, immunization, and nutritional screening among the target populations in Bauchi State? How do caregivers, health workers, and policymakers perceive the integration of VAS into SMC and the removal of VAS from MNCHW? What are the systemic, operational, or sociocultural barriers impeding effective delivery of integrated services? To what extent does the integration affect the quality, completeness, and equity of service provision? And finally, how aware is the community of the integrated campaign model, and what factors influence their participation?</w:t>
      </w:r>
    </w:p>
    <w:p w14:paraId="6976B461"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These research questions are designed to elicit a comprehensive understanding of both the intended and unintended consequences of integrating VAS into an established preventive health delivery system. They also serve to bridge quantitative outcome metrics with qualitative insights, ensuring that the analysis captures both measurable impact and contextual relevance.</w:t>
      </w:r>
    </w:p>
    <w:p w14:paraId="09F2E2F4" w14:textId="77777777" w:rsidR="00B741C6" w:rsidRPr="00B741C6" w:rsidRDefault="00B741C6" w:rsidP="007D1668">
      <w:pPr>
        <w:pStyle w:val="BodyText"/>
        <w:spacing w:line="360" w:lineRule="auto"/>
        <w:jc w:val="both"/>
        <w:outlineLvl w:val="1"/>
        <w:rPr>
          <w:rFonts w:ascii="Garamond" w:hAnsi="Garamond"/>
          <w:b/>
          <w:bCs/>
          <w:lang w:val="en-GB"/>
        </w:rPr>
      </w:pPr>
      <w:bookmarkStart w:id="10" w:name="_Toc201650785"/>
      <w:r w:rsidRPr="00B741C6">
        <w:rPr>
          <w:rFonts w:ascii="Garamond" w:hAnsi="Garamond"/>
          <w:b/>
          <w:bCs/>
          <w:lang w:val="en-GB"/>
        </w:rPr>
        <w:t>3.4. Significance of the Study</w:t>
      </w:r>
      <w:bookmarkEnd w:id="10"/>
    </w:p>
    <w:p w14:paraId="45F96BD4"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 xml:space="preserve">This study is of considerable significance for child health programming in Nigeria and similar malaria-endemic settings. First, it offers a unique opportunity to assess the feasibility and impact of a major service delivery innovation—leveraging SMC’s reach and operational strengths to improve the coverage of VAS, a lifesaving intervention that has traditionally </w:t>
      </w:r>
      <w:proofErr w:type="gramStart"/>
      <w:r w:rsidRPr="00B741C6">
        <w:rPr>
          <w:rFonts w:ascii="Garamond" w:hAnsi="Garamond"/>
          <w:lang w:val="en-GB"/>
        </w:rPr>
        <w:t>lagged behind</w:t>
      </w:r>
      <w:proofErr w:type="gramEnd"/>
      <w:r w:rsidRPr="00B741C6">
        <w:rPr>
          <w:rFonts w:ascii="Garamond" w:hAnsi="Garamond"/>
          <w:lang w:val="en-GB"/>
        </w:rPr>
        <w:t xml:space="preserve"> in national uptake. Second, by excluding VAS from the first MNCHW round of 2025, the study introduces a quasi-experimental element that allows for the observation of changes in community demand and system-level responses, thereby generating real-world evidence on the interplay between service integration and health-seeking </w:t>
      </w:r>
      <w:proofErr w:type="spellStart"/>
      <w:r w:rsidRPr="00B741C6">
        <w:rPr>
          <w:rFonts w:ascii="Garamond" w:hAnsi="Garamond"/>
          <w:lang w:val="en-GB"/>
        </w:rPr>
        <w:t>behavior</w:t>
      </w:r>
      <w:proofErr w:type="spellEnd"/>
      <w:r w:rsidRPr="00B741C6">
        <w:rPr>
          <w:rFonts w:ascii="Garamond" w:hAnsi="Garamond"/>
          <w:lang w:val="en-GB"/>
        </w:rPr>
        <w:t>.</w:t>
      </w:r>
    </w:p>
    <w:p w14:paraId="0CAA7EE8"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 xml:space="preserve">Moreover, the mixed-methods design enhances the value of the findings by triangulating statistical trends with experiential and perceptual data. This design ensures that technical coverage estimates </w:t>
      </w:r>
      <w:r w:rsidRPr="00B741C6">
        <w:rPr>
          <w:rFonts w:ascii="Garamond" w:hAnsi="Garamond"/>
          <w:lang w:val="en-GB"/>
        </w:rPr>
        <w:lastRenderedPageBreak/>
        <w:t>are contextualized within the lived experiences of caregivers, community stakeholders, and frontline health workers. The insights derived from this approach are expected to inform not only state-level implementation strategies but also national policy deliberations on integrated health service delivery.</w:t>
      </w:r>
    </w:p>
    <w:p w14:paraId="03D34A6D"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In sum, the baseline evaluation contributes to a growing body of operational research aimed at improving efficiency, equity, and effectiveness in child health interventions. It provides critical learning for donors, implementers, and policymakers seeking to optimize delivery models in resource-constrained settings, and it holds the potential to serve as a model for scaling up integrated preventive care in Nigeria and across sub-Saharan Africa.</w:t>
      </w:r>
    </w:p>
    <w:p w14:paraId="21EAD991" w14:textId="77777777" w:rsidR="00726C48" w:rsidRDefault="00726C48" w:rsidP="00726C48">
      <w:pPr>
        <w:pStyle w:val="BodyText"/>
        <w:spacing w:line="360" w:lineRule="auto"/>
        <w:jc w:val="both"/>
        <w:rPr>
          <w:rFonts w:ascii="Garamond" w:hAnsi="Garamond"/>
          <w:b/>
          <w:bCs/>
          <w:lang w:val="en-GB"/>
        </w:rPr>
      </w:pPr>
    </w:p>
    <w:p w14:paraId="421F110A" w14:textId="3811E780" w:rsidR="00726C48" w:rsidRPr="00726C48" w:rsidRDefault="00726C48" w:rsidP="007D1668">
      <w:pPr>
        <w:pStyle w:val="BodyText"/>
        <w:spacing w:line="360" w:lineRule="auto"/>
        <w:jc w:val="both"/>
        <w:outlineLvl w:val="0"/>
        <w:rPr>
          <w:rFonts w:ascii="Garamond" w:hAnsi="Garamond"/>
          <w:b/>
          <w:bCs/>
          <w:lang w:val="en-GB"/>
        </w:rPr>
      </w:pPr>
      <w:bookmarkStart w:id="11" w:name="_Toc201650786"/>
      <w:r w:rsidRPr="00726C48">
        <w:rPr>
          <w:rFonts w:ascii="Garamond" w:hAnsi="Garamond"/>
          <w:b/>
          <w:bCs/>
          <w:lang w:val="en-GB"/>
        </w:rPr>
        <w:t>4. Methodology</w:t>
      </w:r>
      <w:bookmarkEnd w:id="11"/>
    </w:p>
    <w:p w14:paraId="3CDD7982" w14:textId="77777777" w:rsidR="00726C48" w:rsidRPr="00726C48" w:rsidRDefault="00726C48" w:rsidP="007D1668">
      <w:pPr>
        <w:pStyle w:val="BodyText"/>
        <w:spacing w:line="360" w:lineRule="auto"/>
        <w:jc w:val="both"/>
        <w:outlineLvl w:val="1"/>
        <w:rPr>
          <w:rFonts w:ascii="Garamond" w:hAnsi="Garamond"/>
          <w:b/>
          <w:bCs/>
          <w:lang w:val="en-GB"/>
        </w:rPr>
      </w:pPr>
      <w:bookmarkStart w:id="12" w:name="_Toc201650787"/>
      <w:r w:rsidRPr="00726C48">
        <w:rPr>
          <w:rFonts w:ascii="Garamond" w:hAnsi="Garamond"/>
          <w:b/>
          <w:bCs/>
          <w:lang w:val="en-GB"/>
        </w:rPr>
        <w:t>4.1. Study Design</w:t>
      </w:r>
      <w:bookmarkEnd w:id="12"/>
    </w:p>
    <w:p w14:paraId="178B5801"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 xml:space="preserve">This baseline evaluation employed a </w:t>
      </w:r>
      <w:r w:rsidRPr="00726C48">
        <w:rPr>
          <w:rFonts w:ascii="Garamond" w:hAnsi="Garamond"/>
          <w:b/>
          <w:bCs/>
          <w:lang w:val="en-GB"/>
        </w:rPr>
        <w:t>convergent mixed-methods design</w:t>
      </w:r>
      <w:r w:rsidRPr="00726C48">
        <w:rPr>
          <w:rFonts w:ascii="Garamond" w:hAnsi="Garamond"/>
          <w:lang w:val="en-GB"/>
        </w:rPr>
        <w:t>, which combines quantitative and qualitative approaches to provide a comprehensive understanding of the research objectives. The rationale for this design lies in its ability to triangulate findings across methodological paradigms, thereby enhancing the depth and validity of insights. Quantitative data were gathered through structured household surveys, while qualitative data were obtained from key informant interviews (KIIs) and focus group discussions (FGDs) involving relevant stakeholders. The two components were executed concurrently, allowing for simultaneous data interpretation and cross-validation of emergent patterns. This design was particularly appropriate given the study’s dual focus on coverage estimation and exploration of stakeholder perceptions regarding the integration of VAS into SMC delivery.</w:t>
      </w:r>
    </w:p>
    <w:p w14:paraId="57BBE7CB" w14:textId="77777777" w:rsidR="00726C48" w:rsidRPr="00726C48" w:rsidRDefault="00726C48" w:rsidP="007D1668">
      <w:pPr>
        <w:pStyle w:val="BodyText"/>
        <w:spacing w:line="360" w:lineRule="auto"/>
        <w:jc w:val="both"/>
        <w:outlineLvl w:val="1"/>
        <w:rPr>
          <w:rFonts w:ascii="Garamond" w:hAnsi="Garamond"/>
          <w:b/>
          <w:bCs/>
          <w:lang w:val="en-GB"/>
        </w:rPr>
      </w:pPr>
      <w:bookmarkStart w:id="13" w:name="_Toc201650788"/>
      <w:r w:rsidRPr="00726C48">
        <w:rPr>
          <w:rFonts w:ascii="Garamond" w:hAnsi="Garamond"/>
          <w:b/>
          <w:bCs/>
          <w:lang w:val="en-GB"/>
        </w:rPr>
        <w:t>4.2. Sampling Strategy</w:t>
      </w:r>
      <w:bookmarkEnd w:id="13"/>
    </w:p>
    <w:p w14:paraId="5EB830E2" w14:textId="44092E8C"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 xml:space="preserve">The study utilized a </w:t>
      </w:r>
      <w:r w:rsidRPr="00726C48">
        <w:rPr>
          <w:rFonts w:ascii="Garamond" w:hAnsi="Garamond"/>
          <w:b/>
          <w:bCs/>
          <w:lang w:val="en-GB"/>
        </w:rPr>
        <w:t>multi-stage stratified cluster sampling</w:t>
      </w:r>
      <w:r w:rsidRPr="00726C48">
        <w:rPr>
          <w:rFonts w:ascii="Garamond" w:hAnsi="Garamond"/>
          <w:lang w:val="en-GB"/>
        </w:rPr>
        <w:t xml:space="preserve"> strategy to ensure representativeness across all 20 Local Government Areas (LGAs) of Bauchi State. In the first stage, all LGAs were included in the sampling frame, recognizing the need to capture geographic variation in health service delivery and population demographics. Subsequently, within each LGA, wards were stratified by urban and rural characteristics, enabling proportional allocation based on the most recent population estimates</w:t>
      </w:r>
      <w:r>
        <w:rPr>
          <w:rFonts w:ascii="Garamond" w:hAnsi="Garamond"/>
          <w:lang w:val="en-GB"/>
        </w:rPr>
        <w:t>.</w:t>
      </w:r>
    </w:p>
    <w:p w14:paraId="5B383BA5"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lastRenderedPageBreak/>
        <w:t>Communities were then randomly selected from each ward using probability proportional to size (PPS), ensuring that more populous communities had a higher likelihood of inclusion. Within selected communities, systematic random sampling was used to identify eligible households, defined as those with at least one child aged 6–59 months or a woman of reproductive age (15–49 years). This rigorous stratification was designed to optimize statistical power for disaggregated analyses while preserving logistical feasibility in the field. The final sample size, determined using standard formulas for cluster sampling and adjusted for a design effect of 2.0, aimed to provide robust estimates for primary indicators with a confidence level of 95% and a margin of error not exceeding ±5 percentage points.</w:t>
      </w:r>
    </w:p>
    <w:p w14:paraId="17551836" w14:textId="77777777" w:rsidR="00726C48" w:rsidRPr="00726C48" w:rsidRDefault="00726C48" w:rsidP="007D1668">
      <w:pPr>
        <w:pStyle w:val="BodyText"/>
        <w:spacing w:line="360" w:lineRule="auto"/>
        <w:jc w:val="both"/>
        <w:outlineLvl w:val="1"/>
        <w:rPr>
          <w:rFonts w:ascii="Garamond" w:hAnsi="Garamond"/>
          <w:b/>
          <w:bCs/>
          <w:lang w:val="en-GB"/>
        </w:rPr>
      </w:pPr>
      <w:bookmarkStart w:id="14" w:name="_Toc201650789"/>
      <w:r w:rsidRPr="00726C48">
        <w:rPr>
          <w:rFonts w:ascii="Garamond" w:hAnsi="Garamond"/>
          <w:b/>
          <w:bCs/>
          <w:lang w:val="en-GB"/>
        </w:rPr>
        <w:t>4.3. Data Collection Procedures</w:t>
      </w:r>
      <w:bookmarkEnd w:id="14"/>
    </w:p>
    <w:p w14:paraId="368E9F57"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 xml:space="preserve">Data collection was conducted in April 2025 by trained enumerators operating in teams supervised by field coordinators. The </w:t>
      </w:r>
      <w:r w:rsidRPr="00726C48">
        <w:rPr>
          <w:rFonts w:ascii="Garamond" w:hAnsi="Garamond"/>
          <w:b/>
          <w:bCs/>
          <w:lang w:val="en-GB"/>
        </w:rPr>
        <w:t>quantitative component</w:t>
      </w:r>
      <w:r w:rsidRPr="00726C48">
        <w:rPr>
          <w:rFonts w:ascii="Garamond" w:hAnsi="Garamond"/>
          <w:lang w:val="en-GB"/>
        </w:rPr>
        <w:t xml:space="preserve"> involved structured household questionnaires administered using mobile tablets programmed with electronic data collection software. The questionnaires captured data on demographic characteristics, child health interventions (SMC, VAS, deworming, immunization, and nutrition), maternal health services, and barriers to service access. Built-in consistency checks and skip logic were embedded in the tools to reduce interviewer error and improve data quality.</w:t>
      </w:r>
    </w:p>
    <w:p w14:paraId="1883B0A3"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 xml:space="preserve">The </w:t>
      </w:r>
      <w:r w:rsidRPr="00726C48">
        <w:rPr>
          <w:rFonts w:ascii="Garamond" w:hAnsi="Garamond"/>
          <w:b/>
          <w:bCs/>
          <w:lang w:val="en-GB"/>
        </w:rPr>
        <w:t>qualitative component</w:t>
      </w:r>
      <w:r w:rsidRPr="00726C48">
        <w:rPr>
          <w:rFonts w:ascii="Garamond" w:hAnsi="Garamond"/>
          <w:lang w:val="en-GB"/>
        </w:rPr>
        <w:t xml:space="preserve"> comprised KIIs with program managers, health officials, and policymakers at both state and LGA levels, as well as FGDs with caregivers, community leaders, and frontline health workers. These discussions were guided by semi-structured protocols informed by the study objectives and existing literature on integrated service delivery. All sessions were audio-recorded, transcribed verbatim, and translated into English where necessary. Fieldnotes were also maintained to capture non-verbal cues and contextual factors influencing responses.</w:t>
      </w:r>
    </w:p>
    <w:p w14:paraId="0F1C2380"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To ensure data integrity, multiple layers of supervision were instituted. These included daily checks of completed interviews, real-time data uploads to a centralized server, and random spot checks using GPS-enabled verification. Enumerators received intensive training on ethical protocols, tool administration, and community entry strategies prior to field deployment.</w:t>
      </w:r>
    </w:p>
    <w:p w14:paraId="458AA783" w14:textId="77777777" w:rsidR="00726C48" w:rsidRPr="00726C48" w:rsidRDefault="00726C48" w:rsidP="007D1668">
      <w:pPr>
        <w:pStyle w:val="BodyText"/>
        <w:spacing w:line="360" w:lineRule="auto"/>
        <w:jc w:val="both"/>
        <w:outlineLvl w:val="1"/>
        <w:rPr>
          <w:rFonts w:ascii="Garamond" w:hAnsi="Garamond"/>
          <w:b/>
          <w:bCs/>
          <w:lang w:val="en-GB"/>
        </w:rPr>
      </w:pPr>
      <w:bookmarkStart w:id="15" w:name="_Toc201650790"/>
      <w:r w:rsidRPr="00726C48">
        <w:rPr>
          <w:rFonts w:ascii="Garamond" w:hAnsi="Garamond"/>
          <w:b/>
          <w:bCs/>
          <w:lang w:val="en-GB"/>
        </w:rPr>
        <w:t>4.4. Analytical Methods</w:t>
      </w:r>
      <w:bookmarkEnd w:id="15"/>
    </w:p>
    <w:p w14:paraId="73492766" w14:textId="32A8ADCF"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lastRenderedPageBreak/>
        <w:t xml:space="preserve">Quantitative data analysis was carried out using </w:t>
      </w:r>
      <w:r w:rsidRPr="00726C48">
        <w:rPr>
          <w:rFonts w:ascii="Garamond" w:hAnsi="Garamond"/>
          <w:b/>
          <w:bCs/>
          <w:lang w:val="en-GB"/>
        </w:rPr>
        <w:t>R</w:t>
      </w:r>
      <w:r>
        <w:rPr>
          <w:rFonts w:ascii="Garamond" w:hAnsi="Garamond"/>
          <w:lang w:val="en-GB"/>
        </w:rPr>
        <w:t xml:space="preserve">, SPSS </w:t>
      </w:r>
      <w:r w:rsidRPr="00726C48">
        <w:rPr>
          <w:rFonts w:ascii="Garamond" w:hAnsi="Garamond"/>
          <w:lang w:val="en-GB"/>
        </w:rPr>
        <w:t xml:space="preserve">and </w:t>
      </w:r>
      <w:r w:rsidRPr="00726C48">
        <w:rPr>
          <w:rFonts w:ascii="Garamond" w:hAnsi="Garamond"/>
          <w:b/>
          <w:bCs/>
          <w:lang w:val="en-GB"/>
        </w:rPr>
        <w:t>Microsoft Power BI</w:t>
      </w:r>
      <w:r w:rsidRPr="00726C48">
        <w:rPr>
          <w:rFonts w:ascii="Garamond" w:hAnsi="Garamond"/>
          <w:lang w:val="en-GB"/>
        </w:rPr>
        <w:t>, with an emphasis on descriptive and inferential statistics. Key indicators were calculated with accompanying 95% confidence intervals, and subgroup analyses were conducted across LGAs, household wealth quintiles, and educational attainment. Statistical significance of observed differences was assessed using Pearson’s chi-squared tests, and effect sizes were estimated using Cramér’s V. Sampling weights were applied to correct for unequal probabilities of selection and non-response, ensuring that the results were generalizable to the wider population of Bauchi State.</w:t>
      </w:r>
    </w:p>
    <w:p w14:paraId="47484FE5" w14:textId="77777777" w:rsidR="00726C48" w:rsidRPr="00726C48" w:rsidRDefault="00726C48" w:rsidP="007D1668">
      <w:pPr>
        <w:pStyle w:val="BodyText"/>
        <w:spacing w:line="360" w:lineRule="auto"/>
        <w:jc w:val="both"/>
        <w:outlineLvl w:val="1"/>
        <w:rPr>
          <w:rFonts w:ascii="Garamond" w:hAnsi="Garamond"/>
          <w:b/>
          <w:bCs/>
          <w:lang w:val="en-GB"/>
        </w:rPr>
      </w:pPr>
      <w:bookmarkStart w:id="16" w:name="_Toc201650791"/>
      <w:r w:rsidRPr="00726C48">
        <w:rPr>
          <w:rFonts w:ascii="Garamond" w:hAnsi="Garamond"/>
          <w:b/>
          <w:bCs/>
          <w:lang w:val="en-GB"/>
        </w:rPr>
        <w:t>4.5. Ethical Considerations</w:t>
      </w:r>
      <w:bookmarkEnd w:id="16"/>
    </w:p>
    <w:p w14:paraId="09E1A90A" w14:textId="502FA39B" w:rsidR="00726C48" w:rsidRDefault="00726C48" w:rsidP="00726C48">
      <w:pPr>
        <w:spacing w:line="360" w:lineRule="auto"/>
        <w:ind w:left="-5" w:right="7"/>
        <w:jc w:val="both"/>
        <w:rPr>
          <w:rFonts w:ascii="Garamond" w:hAnsi="Garamond"/>
          <w:lang w:val="en-GB"/>
        </w:rPr>
      </w:pPr>
      <w:r w:rsidRPr="00726C48">
        <w:rPr>
          <w:rFonts w:ascii="Garamond" w:hAnsi="Garamond"/>
          <w:lang w:val="en-GB"/>
        </w:rPr>
        <w:t xml:space="preserve">Interview, focus group and survey participants </w:t>
      </w:r>
      <w:r>
        <w:rPr>
          <w:rFonts w:ascii="Garamond" w:hAnsi="Garamond"/>
          <w:lang w:val="en-GB"/>
        </w:rPr>
        <w:t>are</w:t>
      </w:r>
      <w:r w:rsidRPr="00726C48">
        <w:rPr>
          <w:rFonts w:ascii="Garamond" w:hAnsi="Garamond"/>
          <w:lang w:val="en-GB"/>
        </w:rPr>
        <w:t xml:space="preserve"> provided with full information about the pilot study, their participation</w:t>
      </w:r>
      <w:r>
        <w:rPr>
          <w:rFonts w:ascii="Garamond" w:hAnsi="Garamond"/>
          <w:lang w:val="en-GB"/>
        </w:rPr>
        <w:t>,</w:t>
      </w:r>
      <w:r w:rsidRPr="00726C48">
        <w:rPr>
          <w:rFonts w:ascii="Garamond" w:hAnsi="Garamond"/>
          <w:lang w:val="en-GB"/>
        </w:rPr>
        <w:t xml:space="preserve"> and the potential risks and benefits of participation. Written consent of the study participants </w:t>
      </w:r>
      <w:r>
        <w:rPr>
          <w:rFonts w:ascii="Garamond" w:hAnsi="Garamond"/>
          <w:lang w:val="en-GB"/>
        </w:rPr>
        <w:t>is</w:t>
      </w:r>
      <w:r w:rsidRPr="00726C48">
        <w:rPr>
          <w:rFonts w:ascii="Garamond" w:hAnsi="Garamond"/>
          <w:lang w:val="en-GB"/>
        </w:rPr>
        <w:t xml:space="preserve"> </w:t>
      </w:r>
      <w:r w:rsidRPr="00726C48">
        <w:rPr>
          <w:rFonts w:ascii="Garamond" w:hAnsi="Garamond"/>
          <w:lang w:val="en-GB"/>
        </w:rPr>
        <w:t>sought</w:t>
      </w:r>
      <w:r w:rsidRPr="00726C48">
        <w:rPr>
          <w:rFonts w:ascii="Garamond" w:hAnsi="Garamond"/>
          <w:lang w:val="en-GB"/>
        </w:rPr>
        <w:t xml:space="preserve">, and individuals </w:t>
      </w:r>
      <w:r>
        <w:rPr>
          <w:rFonts w:ascii="Garamond" w:hAnsi="Garamond"/>
          <w:lang w:val="en-GB"/>
        </w:rPr>
        <w:t>are</w:t>
      </w:r>
      <w:r w:rsidRPr="00726C48">
        <w:rPr>
          <w:rFonts w:ascii="Garamond" w:hAnsi="Garamond"/>
          <w:lang w:val="en-GB"/>
        </w:rPr>
        <w:t xml:space="preserve"> given the option to opt out of the study </w:t>
      </w:r>
      <w:r>
        <w:rPr>
          <w:rFonts w:ascii="Garamond" w:hAnsi="Garamond"/>
          <w:lang w:val="en-GB"/>
        </w:rPr>
        <w:t xml:space="preserve">at </w:t>
      </w:r>
      <w:r w:rsidRPr="00726C48">
        <w:rPr>
          <w:rFonts w:ascii="Garamond" w:hAnsi="Garamond"/>
          <w:lang w:val="en-GB"/>
        </w:rPr>
        <w:t xml:space="preserve">any time. For illiterate participants, a thumbprint </w:t>
      </w:r>
      <w:r>
        <w:rPr>
          <w:rFonts w:ascii="Garamond" w:hAnsi="Garamond"/>
          <w:lang w:val="en-GB"/>
        </w:rPr>
        <w:t xml:space="preserve">is accepted in place of a signature, and an impartial witness is </w:t>
      </w:r>
      <w:r w:rsidRPr="00726C48">
        <w:rPr>
          <w:rFonts w:ascii="Garamond" w:hAnsi="Garamond"/>
          <w:lang w:val="en-GB"/>
        </w:rPr>
        <w:t xml:space="preserve">called to verify </w:t>
      </w:r>
      <w:r>
        <w:rPr>
          <w:rFonts w:ascii="Garamond" w:hAnsi="Garamond"/>
          <w:lang w:val="en-GB"/>
        </w:rPr>
        <w:t xml:space="preserve">that </w:t>
      </w:r>
      <w:r w:rsidRPr="00726C48">
        <w:rPr>
          <w:rFonts w:ascii="Garamond" w:hAnsi="Garamond"/>
          <w:lang w:val="en-GB"/>
        </w:rPr>
        <w:t xml:space="preserve">the participant has been fully informed and understands that they are agreeing to participate in research, and they understand the study procedures. Refusal to participate </w:t>
      </w:r>
      <w:r>
        <w:rPr>
          <w:rFonts w:ascii="Garamond" w:hAnsi="Garamond"/>
          <w:lang w:val="en-GB"/>
        </w:rPr>
        <w:t>are</w:t>
      </w:r>
      <w:r w:rsidRPr="00726C48">
        <w:rPr>
          <w:rFonts w:ascii="Garamond" w:hAnsi="Garamond"/>
          <w:lang w:val="en-GB"/>
        </w:rPr>
        <w:t xml:space="preserve"> not affect any support or services they normally receive from Malaria Consortium. Participants can ask the data collectors for clarification if needed. Where they are unable to answer, their supervisors will be asked to clarify. The consent forms </w:t>
      </w:r>
      <w:r>
        <w:rPr>
          <w:rFonts w:ascii="Garamond" w:hAnsi="Garamond"/>
          <w:lang w:val="en-GB"/>
        </w:rPr>
        <w:t>are</w:t>
      </w:r>
      <w:r w:rsidRPr="00726C48">
        <w:rPr>
          <w:rFonts w:ascii="Garamond" w:hAnsi="Garamond"/>
          <w:lang w:val="en-GB"/>
        </w:rPr>
        <w:t xml:space="preserve"> also </w:t>
      </w:r>
      <w:proofErr w:type="gramStart"/>
      <w:r w:rsidRPr="00726C48">
        <w:rPr>
          <w:rFonts w:ascii="Garamond" w:hAnsi="Garamond"/>
          <w:lang w:val="en-GB"/>
        </w:rPr>
        <w:t>carry</w:t>
      </w:r>
      <w:proofErr w:type="gramEnd"/>
      <w:r w:rsidRPr="00726C48">
        <w:rPr>
          <w:rFonts w:ascii="Garamond" w:hAnsi="Garamond"/>
          <w:lang w:val="en-GB"/>
        </w:rPr>
        <w:t xml:space="preserve"> the contact details of the Principal Investigator for the study and </w:t>
      </w:r>
      <w:r w:rsidRPr="00726C48">
        <w:rPr>
          <w:rFonts w:ascii="Garamond" w:hAnsi="Garamond"/>
          <w:lang w:val="en-GB"/>
        </w:rPr>
        <w:t>those</w:t>
      </w:r>
      <w:r w:rsidRPr="00726C48">
        <w:rPr>
          <w:rFonts w:ascii="Garamond" w:hAnsi="Garamond"/>
          <w:lang w:val="en-GB"/>
        </w:rPr>
        <w:t xml:space="preserve"> of the ethics committee contact person, through which they can be reached.  </w:t>
      </w:r>
    </w:p>
    <w:p w14:paraId="06144137" w14:textId="77777777" w:rsidR="00D021CE" w:rsidRDefault="00D021CE" w:rsidP="007D1668">
      <w:pPr>
        <w:pStyle w:val="Heading2"/>
        <w:rPr>
          <w:rFonts w:ascii="Garamond" w:hAnsi="Garamond"/>
          <w:b/>
          <w:bCs/>
          <w:sz w:val="26"/>
          <w:szCs w:val="26"/>
        </w:rPr>
      </w:pPr>
      <w:bookmarkStart w:id="17" w:name="_Toc201650792"/>
      <w:r>
        <w:rPr>
          <w:rFonts w:ascii="Garamond" w:hAnsi="Garamond"/>
          <w:b/>
          <w:bCs/>
          <w:sz w:val="26"/>
          <w:szCs w:val="26"/>
        </w:rPr>
        <w:t>4.5.1. Ethical Approval</w:t>
      </w:r>
      <w:bookmarkEnd w:id="17"/>
      <w:r>
        <w:rPr>
          <w:rFonts w:ascii="Garamond" w:hAnsi="Garamond"/>
          <w:b/>
          <w:bCs/>
          <w:sz w:val="26"/>
          <w:szCs w:val="26"/>
        </w:rPr>
        <w:t xml:space="preserve">  </w:t>
      </w:r>
    </w:p>
    <w:p w14:paraId="43CE07FC" w14:textId="77777777" w:rsidR="00D021CE" w:rsidRDefault="00D021CE" w:rsidP="00D021CE">
      <w:pPr>
        <w:spacing w:after="503" w:line="360" w:lineRule="auto"/>
        <w:ind w:left="-5" w:right="6"/>
        <w:jc w:val="both"/>
        <w:rPr>
          <w:rFonts w:ascii="Garamond" w:eastAsiaTheme="majorEastAsia" w:hAnsi="Garamond" w:cstheme="majorBidi"/>
        </w:rPr>
      </w:pPr>
      <w:r w:rsidRPr="00D021CE">
        <w:rPr>
          <w:rFonts w:ascii="Garamond" w:eastAsiaTheme="majorEastAsia" w:hAnsi="Garamond" w:cstheme="majorBidi"/>
        </w:rPr>
        <w:t xml:space="preserve">The study protocol was submitted to the Bauchi State Ethical Review Committee chairman for review and approval. The study </w:t>
      </w:r>
      <w:proofErr w:type="gramStart"/>
      <w:r w:rsidRPr="00D021CE">
        <w:rPr>
          <w:rFonts w:ascii="Garamond" w:eastAsiaTheme="majorEastAsia" w:hAnsi="Garamond" w:cstheme="majorBidi"/>
        </w:rPr>
        <w:t>complied</w:t>
      </w:r>
      <w:proofErr w:type="gramEnd"/>
      <w:r w:rsidRPr="00D021CE">
        <w:rPr>
          <w:rFonts w:ascii="Garamond" w:eastAsiaTheme="majorEastAsia" w:hAnsi="Garamond" w:cstheme="majorBidi"/>
        </w:rPr>
        <w:t xml:space="preserve"> with all ethical guidelines and regulations outlined by these committees to ensure the rights, safety, and well-being of all participants were fully protected throughout the research process.  </w:t>
      </w:r>
    </w:p>
    <w:p w14:paraId="52FB95A0" w14:textId="3F1B5BCD" w:rsidR="00726C48" w:rsidRPr="00D021CE" w:rsidRDefault="00D021CE" w:rsidP="00D021CE">
      <w:pPr>
        <w:spacing w:after="503" w:line="360" w:lineRule="auto"/>
        <w:ind w:left="-5" w:right="6"/>
        <w:jc w:val="both"/>
        <w:rPr>
          <w:rFonts w:ascii="Garamond" w:eastAsiaTheme="majorEastAsia" w:hAnsi="Garamond" w:cstheme="majorBidi"/>
        </w:rPr>
      </w:pPr>
      <w:r w:rsidRPr="00D021CE">
        <w:rPr>
          <w:rFonts w:ascii="Garamond" w:eastAsiaTheme="majorEastAsia" w:hAnsi="Garamond" w:cstheme="majorBidi"/>
        </w:rPr>
        <w:t xml:space="preserve">Informed consent was administered to the participants, and written signed consent was obtained prior to the commencement of the FGD and KII sessions. Participants were informed about the purpose of the study, the benefits, and their rights to withdraw from the study at any point they wished, without any consequences to the services or support they normally received from Malaria Consortium. The confidentiality of participants was ensured; the biodata of the participants was not mentioned during data interpretation, and codes were used to ensure </w:t>
      </w:r>
      <w:proofErr w:type="gramStart"/>
      <w:r w:rsidRPr="00D021CE">
        <w:rPr>
          <w:rFonts w:ascii="Garamond" w:eastAsiaTheme="majorEastAsia" w:hAnsi="Garamond" w:cstheme="majorBidi"/>
        </w:rPr>
        <w:t>the anonymity</w:t>
      </w:r>
      <w:proofErr w:type="gramEnd"/>
      <w:r w:rsidRPr="00D021CE">
        <w:rPr>
          <w:rFonts w:ascii="Garamond" w:eastAsiaTheme="majorEastAsia" w:hAnsi="Garamond" w:cstheme="majorBidi"/>
        </w:rPr>
        <w:t xml:space="preserve"> of responses.</w:t>
      </w:r>
    </w:p>
    <w:p w14:paraId="0D8F06D5" w14:textId="77777777" w:rsidR="00726C48" w:rsidRPr="00726C48" w:rsidRDefault="00726C48" w:rsidP="007D1668">
      <w:pPr>
        <w:pStyle w:val="BodyText"/>
        <w:spacing w:line="360" w:lineRule="auto"/>
        <w:jc w:val="both"/>
        <w:outlineLvl w:val="1"/>
        <w:rPr>
          <w:rFonts w:ascii="Garamond" w:hAnsi="Garamond"/>
          <w:b/>
          <w:bCs/>
          <w:lang w:val="en-GB"/>
        </w:rPr>
      </w:pPr>
      <w:bookmarkStart w:id="18" w:name="_Toc201650793"/>
      <w:r w:rsidRPr="00726C48">
        <w:rPr>
          <w:rFonts w:ascii="Garamond" w:hAnsi="Garamond"/>
          <w:b/>
          <w:bCs/>
          <w:lang w:val="en-GB"/>
        </w:rPr>
        <w:lastRenderedPageBreak/>
        <w:t>4.6. Study Limitations</w:t>
      </w:r>
      <w:bookmarkEnd w:id="18"/>
    </w:p>
    <w:p w14:paraId="4305C25D"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 xml:space="preserve">While the study design was rigorous, certain limitations must be acknowledged. First, the </w:t>
      </w:r>
      <w:r w:rsidRPr="00726C48">
        <w:rPr>
          <w:rFonts w:ascii="Garamond" w:hAnsi="Garamond"/>
          <w:b/>
          <w:bCs/>
          <w:lang w:val="en-GB"/>
        </w:rPr>
        <w:t>cross-sectional nature</w:t>
      </w:r>
      <w:r w:rsidRPr="00726C48">
        <w:rPr>
          <w:rFonts w:ascii="Garamond" w:hAnsi="Garamond"/>
          <w:lang w:val="en-GB"/>
        </w:rPr>
        <w:t xml:space="preserve"> of the baseline survey precludes causal inferences regarding the effects of integration; it provides only a temporal snapshot of conditions prior to the intervention. Second, there is potential for </w:t>
      </w:r>
      <w:r w:rsidRPr="00726C48">
        <w:rPr>
          <w:rFonts w:ascii="Garamond" w:hAnsi="Garamond"/>
          <w:b/>
          <w:bCs/>
          <w:lang w:val="en-GB"/>
        </w:rPr>
        <w:t>recall bias</w:t>
      </w:r>
      <w:r w:rsidRPr="00726C48">
        <w:rPr>
          <w:rFonts w:ascii="Garamond" w:hAnsi="Garamond"/>
          <w:lang w:val="en-GB"/>
        </w:rPr>
        <w:t xml:space="preserve"> in self-reported indicators, particularly regarding the timing and source of health services received. Although health card verification was attempted where possible, documentation was not consistently available across households. Third, </w:t>
      </w:r>
      <w:r w:rsidRPr="00726C48">
        <w:rPr>
          <w:rFonts w:ascii="Garamond" w:hAnsi="Garamond"/>
          <w:b/>
          <w:bCs/>
          <w:lang w:val="en-GB"/>
        </w:rPr>
        <w:t>social desirability bias</w:t>
      </w:r>
      <w:r w:rsidRPr="00726C48">
        <w:rPr>
          <w:rFonts w:ascii="Garamond" w:hAnsi="Garamond"/>
          <w:lang w:val="en-GB"/>
        </w:rPr>
        <w:t xml:space="preserve"> may have influenced caregiver responses, especially in contexts where health workers are highly respected.</w:t>
      </w:r>
    </w:p>
    <w:p w14:paraId="0D832B22" w14:textId="77777777" w:rsidR="00726C48" w:rsidRDefault="00726C48" w:rsidP="00726C48">
      <w:pPr>
        <w:pStyle w:val="BodyText"/>
        <w:spacing w:line="360" w:lineRule="auto"/>
        <w:jc w:val="both"/>
        <w:rPr>
          <w:rFonts w:ascii="Garamond" w:hAnsi="Garamond"/>
          <w:lang w:val="en-GB"/>
        </w:rPr>
      </w:pPr>
      <w:r w:rsidRPr="00726C48">
        <w:rPr>
          <w:rFonts w:ascii="Garamond" w:hAnsi="Garamond"/>
          <w:lang w:val="en-GB"/>
        </w:rPr>
        <w:t>Despite these limitations, the methodological rigor and triangulated approach provide a strong foundation for interpreting baseline conditions and informing the subsequent impact evaluation.</w:t>
      </w:r>
    </w:p>
    <w:p w14:paraId="649CFF36" w14:textId="77777777" w:rsidR="00006865" w:rsidRPr="00006865" w:rsidRDefault="00006865" w:rsidP="007D1668">
      <w:pPr>
        <w:pStyle w:val="BodyText"/>
        <w:spacing w:line="360" w:lineRule="auto"/>
        <w:jc w:val="both"/>
        <w:outlineLvl w:val="0"/>
        <w:rPr>
          <w:rFonts w:ascii="Garamond" w:hAnsi="Garamond"/>
          <w:b/>
          <w:bCs/>
          <w:lang w:val="en-GB"/>
        </w:rPr>
      </w:pPr>
      <w:bookmarkStart w:id="19" w:name="_Toc201650794"/>
      <w:r w:rsidRPr="00006865">
        <w:rPr>
          <w:rFonts w:ascii="Garamond" w:hAnsi="Garamond"/>
          <w:b/>
          <w:bCs/>
          <w:lang w:val="en-GB"/>
        </w:rPr>
        <w:t>5. Results</w:t>
      </w:r>
      <w:bookmarkEnd w:id="19"/>
    </w:p>
    <w:p w14:paraId="75F7A41D" w14:textId="77777777" w:rsidR="00006865" w:rsidRPr="00006865" w:rsidRDefault="00006865" w:rsidP="007D1668">
      <w:pPr>
        <w:pStyle w:val="BodyText"/>
        <w:spacing w:line="360" w:lineRule="auto"/>
        <w:jc w:val="both"/>
        <w:outlineLvl w:val="1"/>
        <w:rPr>
          <w:rFonts w:ascii="Garamond" w:hAnsi="Garamond"/>
          <w:b/>
          <w:bCs/>
          <w:lang w:val="en-GB"/>
        </w:rPr>
      </w:pPr>
      <w:bookmarkStart w:id="20" w:name="_Toc201650795"/>
      <w:r w:rsidRPr="00006865">
        <w:rPr>
          <w:rFonts w:ascii="Garamond" w:hAnsi="Garamond"/>
          <w:b/>
          <w:bCs/>
          <w:lang w:val="en-GB"/>
        </w:rPr>
        <w:t>5.1. Demographic and Socioeconomic Profile</w:t>
      </w:r>
      <w:bookmarkEnd w:id="20"/>
    </w:p>
    <w:p w14:paraId="385FE326"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The baseline survey covered a total of 8,064 households across all 20 Local Government Areas (LGAs) in Bauchi State, yielding a geographically representative dataset. No single LGA contributed more than 6.2% of the sample, reflecting a balanced distribution. This even sampling framework enhances the generalizability of the findings and provides insights into the heterogeneity of health access and outcomes across administrative divisions.</w:t>
      </w:r>
    </w:p>
    <w:p w14:paraId="5199F0F6" w14:textId="3E9CDF4D" w:rsidR="00006865" w:rsidRPr="00006865" w:rsidRDefault="00006865" w:rsidP="00DC4FB6">
      <w:pPr>
        <w:pStyle w:val="BodyText"/>
        <w:spacing w:line="360" w:lineRule="auto"/>
        <w:jc w:val="both"/>
        <w:rPr>
          <w:rFonts w:ascii="Garamond" w:hAnsi="Garamond"/>
          <w:lang w:val="en-GB"/>
        </w:rPr>
      </w:pPr>
      <w:r w:rsidRPr="00006865">
        <w:rPr>
          <w:rFonts w:ascii="Garamond" w:hAnsi="Garamond"/>
          <w:lang w:val="en-GB"/>
        </w:rPr>
        <w:t xml:space="preserve">The demographic composition of households reflects a population structure characterized by high fertility and extended family networks, typical of northern Nigeria. On average, </w:t>
      </w:r>
      <w:r w:rsidR="00DC4FB6" w:rsidRPr="00DC4FB6">
        <w:rPr>
          <w:rFonts w:ascii="Garamond" w:hAnsi="Garamond"/>
          <w:lang w:val="en-GB"/>
        </w:rPr>
        <w:t>each household reported</w:t>
      </w:r>
      <w:r w:rsidR="00DC4FB6">
        <w:rPr>
          <w:rFonts w:ascii="Garamond" w:hAnsi="Garamond"/>
          <w:lang w:val="en-GB"/>
        </w:rPr>
        <w:t xml:space="preserve"> </w:t>
      </w:r>
      <w:r w:rsidR="00DC4FB6" w:rsidRPr="00DC4FB6">
        <w:rPr>
          <w:rFonts w:ascii="Garamond" w:hAnsi="Garamond"/>
          <w:lang w:val="en-GB"/>
        </w:rPr>
        <w:t>approximately two children eligible for SMC &amp; VAS (mean = 2.01)</w:t>
      </w:r>
      <w:r w:rsidRPr="00006865">
        <w:rPr>
          <w:rFonts w:ascii="Garamond" w:hAnsi="Garamond"/>
          <w:lang w:val="en-GB"/>
        </w:rPr>
        <w:t>, and nearly two women of childbearing age (mean = 1.77). Some households reported as many as 17 eligible children or 27 women of reproductive age, underscoring the scale of the intervention target group and the logistical demands of reaching them effectively.</w:t>
      </w:r>
    </w:p>
    <w:p w14:paraId="19BDE423" w14:textId="44CDB642"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 xml:space="preserve">The age distribution of respondents was consistent with programmatic expectations. The average age of selected women was 27.7 years, while household heads averaged 41.3 years. A significant </w:t>
      </w:r>
      <w:r w:rsidR="00DC4FB6">
        <w:rPr>
          <w:rFonts w:ascii="Garamond" w:hAnsi="Garamond"/>
          <w:lang w:val="en-GB"/>
        </w:rPr>
        <w:t xml:space="preserve">number of the household heads were mostly males, who </w:t>
      </w:r>
      <w:r w:rsidR="00DC4FB6" w:rsidRPr="00006865">
        <w:rPr>
          <w:rFonts w:ascii="Garamond" w:hAnsi="Garamond"/>
          <w:lang w:val="en-GB"/>
        </w:rPr>
        <w:t>constitut</w:t>
      </w:r>
      <w:r w:rsidR="00DC4FB6">
        <w:rPr>
          <w:rFonts w:ascii="Garamond" w:hAnsi="Garamond"/>
          <w:lang w:val="en-GB"/>
        </w:rPr>
        <w:t>ed</w:t>
      </w:r>
      <w:r w:rsidRPr="00006865">
        <w:rPr>
          <w:rFonts w:ascii="Garamond" w:hAnsi="Garamond"/>
          <w:lang w:val="en-GB"/>
        </w:rPr>
        <w:t xml:space="preserve"> 97.3% of the total. </w:t>
      </w:r>
    </w:p>
    <w:p w14:paraId="24E5D33B" w14:textId="46C065F4" w:rsidR="00006865" w:rsidRDefault="00006865" w:rsidP="00006865">
      <w:pPr>
        <w:pStyle w:val="BodyText"/>
        <w:spacing w:line="360" w:lineRule="auto"/>
        <w:jc w:val="both"/>
        <w:rPr>
          <w:rFonts w:ascii="Garamond" w:hAnsi="Garamond"/>
          <w:lang w:val="en-GB"/>
        </w:rPr>
      </w:pPr>
      <w:r w:rsidRPr="00006865">
        <w:rPr>
          <w:rFonts w:ascii="Garamond" w:hAnsi="Garamond"/>
          <w:lang w:val="en-GB"/>
        </w:rPr>
        <w:lastRenderedPageBreak/>
        <w:t xml:space="preserve">In terms of socioeconomic status, </w:t>
      </w:r>
      <w:proofErr w:type="gramStart"/>
      <w:r w:rsidRPr="00006865">
        <w:rPr>
          <w:rFonts w:ascii="Garamond" w:hAnsi="Garamond"/>
          <w:lang w:val="en-GB"/>
        </w:rPr>
        <w:t>the majority of</w:t>
      </w:r>
      <w:proofErr w:type="gramEnd"/>
      <w:r w:rsidRPr="00006865">
        <w:rPr>
          <w:rFonts w:ascii="Garamond" w:hAnsi="Garamond"/>
          <w:lang w:val="en-GB"/>
        </w:rPr>
        <w:t xml:space="preserve"> household heads were self-employed, </w:t>
      </w:r>
      <w:r w:rsidR="00DC4FB6">
        <w:rPr>
          <w:rFonts w:ascii="Garamond" w:hAnsi="Garamond"/>
          <w:lang w:val="en-GB"/>
        </w:rPr>
        <w:t>with a predominant engagement</w:t>
      </w:r>
      <w:r w:rsidRPr="00006865">
        <w:rPr>
          <w:rFonts w:ascii="Garamond" w:hAnsi="Garamond"/>
          <w:lang w:val="en-GB"/>
        </w:rPr>
        <w:t xml:space="preserve"> in farming (41.0%) and trading (18.8%). Only 12.9% reported formal employment, while 13.2% were unemployed. Educational attainment was also variable: 46.8% of household heads reported no formal schooling, while 22.9% had secondary and 14.9% had higher education. This educational gradient plays a significant role in shaping access to and understanding of health interventions, as demonstrated by later findings on health service utilization.</w:t>
      </w:r>
    </w:p>
    <w:tbl>
      <w:tblPr>
        <w:tblW w:w="9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9"/>
        <w:gridCol w:w="1920"/>
        <w:gridCol w:w="2116"/>
        <w:gridCol w:w="1677"/>
      </w:tblGrid>
      <w:tr w:rsidR="005912CC" w:rsidRPr="005054B9" w14:paraId="3681A5AF" w14:textId="77777777" w:rsidTr="003405FD">
        <w:trPr>
          <w:trHeight w:val="285"/>
        </w:trPr>
        <w:tc>
          <w:tcPr>
            <w:tcW w:w="3899" w:type="dxa"/>
            <w:shd w:val="clear" w:color="auto" w:fill="auto"/>
            <w:noWrap/>
            <w:vAlign w:val="bottom"/>
          </w:tcPr>
          <w:p w14:paraId="16898061" w14:textId="77777777" w:rsidR="005912CC" w:rsidRPr="005054B9" w:rsidRDefault="005912CC" w:rsidP="005054B9">
            <w:pPr>
              <w:spacing w:after="0"/>
              <w:rPr>
                <w:rFonts w:ascii="Garamond" w:eastAsia="Times New Roman" w:hAnsi="Garamond" w:cs="Times New Roman"/>
                <w:b/>
                <w:bCs/>
                <w:color w:val="000000"/>
                <w:lang w:val="en-GB" w:eastAsia="en-GB"/>
              </w:rPr>
            </w:pPr>
          </w:p>
        </w:tc>
        <w:tc>
          <w:tcPr>
            <w:tcW w:w="5713" w:type="dxa"/>
            <w:gridSpan w:val="3"/>
            <w:shd w:val="clear" w:color="auto" w:fill="auto"/>
            <w:noWrap/>
            <w:vAlign w:val="bottom"/>
          </w:tcPr>
          <w:p w14:paraId="407A7FB2" w14:textId="53A73D16" w:rsidR="005912CC" w:rsidRPr="005054B9" w:rsidRDefault="005912CC" w:rsidP="005912CC">
            <w:pPr>
              <w:spacing w:after="0"/>
              <w:jc w:val="center"/>
              <w:rPr>
                <w:rFonts w:ascii="Garamond" w:eastAsia="Times New Roman" w:hAnsi="Garamond" w:cs="Times New Roman"/>
                <w:b/>
                <w:bCs/>
                <w:color w:val="000000"/>
                <w:lang w:val="en-GB" w:eastAsia="en-GB"/>
              </w:rPr>
            </w:pPr>
            <w:r>
              <w:rPr>
                <w:rFonts w:ascii="Garamond" w:eastAsia="Times New Roman" w:hAnsi="Garamond" w:cs="Times New Roman"/>
                <w:b/>
                <w:bCs/>
                <w:color w:val="000000"/>
                <w:lang w:val="en-GB" w:eastAsia="en-GB"/>
              </w:rPr>
              <w:t>Vitamin A</w:t>
            </w:r>
          </w:p>
        </w:tc>
      </w:tr>
      <w:tr w:rsidR="005054B9" w:rsidRPr="005054B9" w14:paraId="343A3D2E" w14:textId="77777777" w:rsidTr="005912CC">
        <w:trPr>
          <w:trHeight w:val="285"/>
        </w:trPr>
        <w:tc>
          <w:tcPr>
            <w:tcW w:w="3899" w:type="dxa"/>
            <w:shd w:val="clear" w:color="auto" w:fill="auto"/>
            <w:noWrap/>
            <w:vAlign w:val="bottom"/>
            <w:hideMark/>
          </w:tcPr>
          <w:p w14:paraId="4C836872"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Characteristics</w:t>
            </w:r>
          </w:p>
        </w:tc>
        <w:tc>
          <w:tcPr>
            <w:tcW w:w="1920" w:type="dxa"/>
            <w:shd w:val="clear" w:color="auto" w:fill="auto"/>
            <w:noWrap/>
            <w:vAlign w:val="bottom"/>
            <w:hideMark/>
          </w:tcPr>
          <w:p w14:paraId="684AC50A"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No (%)</w:t>
            </w:r>
          </w:p>
        </w:tc>
        <w:tc>
          <w:tcPr>
            <w:tcW w:w="2116" w:type="dxa"/>
            <w:shd w:val="clear" w:color="auto" w:fill="auto"/>
            <w:noWrap/>
            <w:vAlign w:val="bottom"/>
            <w:hideMark/>
          </w:tcPr>
          <w:p w14:paraId="1775F27E"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Yes (%)</w:t>
            </w:r>
          </w:p>
        </w:tc>
        <w:tc>
          <w:tcPr>
            <w:tcW w:w="1677" w:type="dxa"/>
            <w:shd w:val="clear" w:color="auto" w:fill="auto"/>
            <w:noWrap/>
            <w:vAlign w:val="bottom"/>
            <w:hideMark/>
          </w:tcPr>
          <w:p w14:paraId="22E487CB"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P-value</w:t>
            </w:r>
          </w:p>
        </w:tc>
      </w:tr>
      <w:tr w:rsidR="005054B9" w:rsidRPr="005054B9" w14:paraId="73628E96" w14:textId="77777777" w:rsidTr="005912CC">
        <w:trPr>
          <w:trHeight w:val="285"/>
        </w:trPr>
        <w:tc>
          <w:tcPr>
            <w:tcW w:w="5819" w:type="dxa"/>
            <w:gridSpan w:val="2"/>
            <w:shd w:val="clear" w:color="auto" w:fill="auto"/>
            <w:noWrap/>
            <w:vAlign w:val="bottom"/>
            <w:hideMark/>
          </w:tcPr>
          <w:p w14:paraId="3949DDA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 xml:space="preserve">Childs </w:t>
            </w:r>
            <w:proofErr w:type="spellStart"/>
            <w:r w:rsidRPr="005054B9">
              <w:rPr>
                <w:rFonts w:ascii="Garamond" w:eastAsia="Times New Roman" w:hAnsi="Garamond" w:cs="Times New Roman"/>
                <w:color w:val="000000"/>
                <w:lang w:val="en-GB" w:eastAsia="en-GB"/>
              </w:rPr>
              <w:t>age_months</w:t>
            </w:r>
            <w:proofErr w:type="spellEnd"/>
          </w:p>
        </w:tc>
        <w:tc>
          <w:tcPr>
            <w:tcW w:w="2116" w:type="dxa"/>
            <w:shd w:val="clear" w:color="auto" w:fill="auto"/>
            <w:noWrap/>
            <w:vAlign w:val="bottom"/>
            <w:hideMark/>
          </w:tcPr>
          <w:p w14:paraId="61C96EF7" w14:textId="77777777" w:rsidR="005054B9" w:rsidRPr="005054B9" w:rsidRDefault="005054B9" w:rsidP="005054B9">
            <w:pPr>
              <w:spacing w:after="0"/>
              <w:rPr>
                <w:rFonts w:ascii="Garamond" w:eastAsia="Times New Roman" w:hAnsi="Garamond" w:cs="Times New Roman"/>
                <w:color w:val="000000"/>
                <w:lang w:val="en-GB" w:eastAsia="en-GB"/>
              </w:rPr>
            </w:pPr>
          </w:p>
        </w:tc>
        <w:tc>
          <w:tcPr>
            <w:tcW w:w="1677" w:type="dxa"/>
            <w:shd w:val="clear" w:color="auto" w:fill="auto"/>
            <w:noWrap/>
            <w:vAlign w:val="bottom"/>
            <w:hideMark/>
          </w:tcPr>
          <w:p w14:paraId="07B2DA04" w14:textId="77777777" w:rsidR="005054B9" w:rsidRPr="005054B9" w:rsidRDefault="005054B9" w:rsidP="005054B9">
            <w:pPr>
              <w:spacing w:after="0"/>
              <w:rPr>
                <w:rFonts w:ascii="Garamond" w:eastAsia="Times New Roman" w:hAnsi="Garamond" w:cs="Times New Roman"/>
                <w:lang w:val="en-GB" w:eastAsia="en-GB"/>
              </w:rPr>
            </w:pPr>
          </w:p>
        </w:tc>
      </w:tr>
      <w:tr w:rsidR="005054B9" w:rsidRPr="005054B9" w14:paraId="574F2EFE" w14:textId="77777777" w:rsidTr="005912CC">
        <w:trPr>
          <w:trHeight w:val="285"/>
        </w:trPr>
        <w:tc>
          <w:tcPr>
            <w:tcW w:w="3899" w:type="dxa"/>
            <w:shd w:val="clear" w:color="auto" w:fill="auto"/>
            <w:noWrap/>
            <w:vAlign w:val="bottom"/>
            <w:hideMark/>
          </w:tcPr>
          <w:p w14:paraId="2705071B"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6-11 months</w:t>
            </w:r>
          </w:p>
        </w:tc>
        <w:tc>
          <w:tcPr>
            <w:tcW w:w="1920" w:type="dxa"/>
            <w:shd w:val="clear" w:color="auto" w:fill="auto"/>
            <w:noWrap/>
            <w:vAlign w:val="bottom"/>
            <w:hideMark/>
          </w:tcPr>
          <w:p w14:paraId="06EE5EF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67 (2.4%)</w:t>
            </w:r>
          </w:p>
        </w:tc>
        <w:tc>
          <w:tcPr>
            <w:tcW w:w="2116" w:type="dxa"/>
            <w:shd w:val="clear" w:color="auto" w:fill="auto"/>
            <w:noWrap/>
            <w:vAlign w:val="bottom"/>
            <w:hideMark/>
          </w:tcPr>
          <w:p w14:paraId="01BE0080"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143 (5.1%)</w:t>
            </w:r>
          </w:p>
        </w:tc>
        <w:tc>
          <w:tcPr>
            <w:tcW w:w="1677" w:type="dxa"/>
            <w:shd w:val="clear" w:color="auto" w:fill="auto"/>
            <w:noWrap/>
            <w:vAlign w:val="bottom"/>
            <w:hideMark/>
          </w:tcPr>
          <w:p w14:paraId="7125EF03"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w:t>
            </w:r>
          </w:p>
        </w:tc>
      </w:tr>
      <w:tr w:rsidR="005054B9" w:rsidRPr="005054B9" w14:paraId="2E9FB9A0" w14:textId="77777777" w:rsidTr="005054B9">
        <w:trPr>
          <w:trHeight w:val="285"/>
        </w:trPr>
        <w:tc>
          <w:tcPr>
            <w:tcW w:w="3899" w:type="dxa"/>
            <w:shd w:val="clear" w:color="auto" w:fill="auto"/>
            <w:noWrap/>
            <w:vAlign w:val="bottom"/>
            <w:hideMark/>
          </w:tcPr>
          <w:p w14:paraId="13CA9C3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12-59 months</w:t>
            </w:r>
          </w:p>
        </w:tc>
        <w:tc>
          <w:tcPr>
            <w:tcW w:w="1920" w:type="dxa"/>
            <w:shd w:val="clear" w:color="auto" w:fill="auto"/>
            <w:noWrap/>
            <w:vAlign w:val="bottom"/>
            <w:hideMark/>
          </w:tcPr>
          <w:p w14:paraId="5ED7D0E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362 (12.9%)</w:t>
            </w:r>
          </w:p>
        </w:tc>
        <w:tc>
          <w:tcPr>
            <w:tcW w:w="3793" w:type="dxa"/>
            <w:gridSpan w:val="2"/>
            <w:shd w:val="clear" w:color="auto" w:fill="auto"/>
            <w:noWrap/>
            <w:vAlign w:val="bottom"/>
            <w:hideMark/>
          </w:tcPr>
          <w:p w14:paraId="18772A55"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2243 (79.7%)</w:t>
            </w:r>
          </w:p>
        </w:tc>
      </w:tr>
      <w:tr w:rsidR="005054B9" w:rsidRPr="005054B9" w14:paraId="754922DB" w14:textId="77777777" w:rsidTr="005912CC">
        <w:trPr>
          <w:trHeight w:val="285"/>
        </w:trPr>
        <w:tc>
          <w:tcPr>
            <w:tcW w:w="5819" w:type="dxa"/>
            <w:gridSpan w:val="2"/>
            <w:shd w:val="clear" w:color="auto" w:fill="auto"/>
            <w:noWrap/>
            <w:vAlign w:val="bottom"/>
            <w:hideMark/>
          </w:tcPr>
          <w:p w14:paraId="40A0F230"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Childs Sex</w:t>
            </w:r>
          </w:p>
        </w:tc>
        <w:tc>
          <w:tcPr>
            <w:tcW w:w="2116" w:type="dxa"/>
            <w:shd w:val="clear" w:color="auto" w:fill="auto"/>
            <w:noWrap/>
            <w:vAlign w:val="bottom"/>
            <w:hideMark/>
          </w:tcPr>
          <w:p w14:paraId="7977E4B7" w14:textId="77777777" w:rsidR="005054B9" w:rsidRPr="005054B9" w:rsidRDefault="005054B9" w:rsidP="005054B9">
            <w:pPr>
              <w:spacing w:after="0"/>
              <w:rPr>
                <w:rFonts w:ascii="Garamond" w:eastAsia="Times New Roman" w:hAnsi="Garamond" w:cs="Times New Roman"/>
                <w:b/>
                <w:bCs/>
                <w:color w:val="000000"/>
                <w:lang w:val="en-GB" w:eastAsia="en-GB"/>
              </w:rPr>
            </w:pPr>
          </w:p>
        </w:tc>
        <w:tc>
          <w:tcPr>
            <w:tcW w:w="1677" w:type="dxa"/>
            <w:shd w:val="clear" w:color="auto" w:fill="auto"/>
            <w:noWrap/>
            <w:vAlign w:val="bottom"/>
            <w:hideMark/>
          </w:tcPr>
          <w:p w14:paraId="078E330D" w14:textId="77777777" w:rsidR="005054B9" w:rsidRPr="005054B9" w:rsidRDefault="005054B9" w:rsidP="005054B9">
            <w:pPr>
              <w:spacing w:after="0"/>
              <w:rPr>
                <w:rFonts w:ascii="Garamond" w:eastAsia="Times New Roman" w:hAnsi="Garamond" w:cs="Times New Roman"/>
                <w:b/>
                <w:bCs/>
                <w:lang w:val="en-GB" w:eastAsia="en-GB"/>
              </w:rPr>
            </w:pPr>
          </w:p>
        </w:tc>
      </w:tr>
      <w:tr w:rsidR="005054B9" w:rsidRPr="005054B9" w14:paraId="53D63021" w14:textId="77777777" w:rsidTr="005912CC">
        <w:trPr>
          <w:trHeight w:val="285"/>
        </w:trPr>
        <w:tc>
          <w:tcPr>
            <w:tcW w:w="3899" w:type="dxa"/>
            <w:shd w:val="clear" w:color="auto" w:fill="auto"/>
            <w:noWrap/>
            <w:vAlign w:val="bottom"/>
            <w:hideMark/>
          </w:tcPr>
          <w:p w14:paraId="11CB210D"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Female</w:t>
            </w:r>
          </w:p>
        </w:tc>
        <w:tc>
          <w:tcPr>
            <w:tcW w:w="1920" w:type="dxa"/>
            <w:shd w:val="clear" w:color="auto" w:fill="auto"/>
            <w:noWrap/>
            <w:vAlign w:val="bottom"/>
            <w:hideMark/>
          </w:tcPr>
          <w:p w14:paraId="38BF9C02"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212 (7.5%)</w:t>
            </w:r>
          </w:p>
        </w:tc>
        <w:tc>
          <w:tcPr>
            <w:tcW w:w="2116" w:type="dxa"/>
            <w:shd w:val="clear" w:color="auto" w:fill="auto"/>
            <w:noWrap/>
            <w:vAlign w:val="bottom"/>
            <w:hideMark/>
          </w:tcPr>
          <w:p w14:paraId="29D0B99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1164 (41.3%)</w:t>
            </w:r>
          </w:p>
        </w:tc>
        <w:tc>
          <w:tcPr>
            <w:tcW w:w="1677" w:type="dxa"/>
            <w:shd w:val="clear" w:color="auto" w:fill="auto"/>
            <w:noWrap/>
            <w:vAlign w:val="bottom"/>
            <w:hideMark/>
          </w:tcPr>
          <w:p w14:paraId="476DA16A"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0.8502</w:t>
            </w:r>
          </w:p>
        </w:tc>
      </w:tr>
      <w:tr w:rsidR="005054B9" w:rsidRPr="005054B9" w14:paraId="43A474F9" w14:textId="77777777" w:rsidTr="005054B9">
        <w:trPr>
          <w:trHeight w:val="285"/>
        </w:trPr>
        <w:tc>
          <w:tcPr>
            <w:tcW w:w="3899" w:type="dxa"/>
            <w:shd w:val="clear" w:color="auto" w:fill="auto"/>
            <w:noWrap/>
            <w:vAlign w:val="bottom"/>
            <w:hideMark/>
          </w:tcPr>
          <w:p w14:paraId="5B014CE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Male</w:t>
            </w:r>
          </w:p>
        </w:tc>
        <w:tc>
          <w:tcPr>
            <w:tcW w:w="1920" w:type="dxa"/>
            <w:shd w:val="clear" w:color="auto" w:fill="auto"/>
            <w:noWrap/>
            <w:vAlign w:val="bottom"/>
            <w:hideMark/>
          </w:tcPr>
          <w:p w14:paraId="5BF06833"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217 (7.7%)</w:t>
            </w:r>
          </w:p>
        </w:tc>
        <w:tc>
          <w:tcPr>
            <w:tcW w:w="3793" w:type="dxa"/>
            <w:gridSpan w:val="2"/>
            <w:shd w:val="clear" w:color="auto" w:fill="auto"/>
            <w:noWrap/>
            <w:vAlign w:val="bottom"/>
            <w:hideMark/>
          </w:tcPr>
          <w:p w14:paraId="30DA596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1222 (43.4%)</w:t>
            </w:r>
          </w:p>
        </w:tc>
      </w:tr>
      <w:tr w:rsidR="005054B9" w:rsidRPr="005054B9" w14:paraId="6A768456" w14:textId="77777777" w:rsidTr="005912CC">
        <w:trPr>
          <w:trHeight w:val="285"/>
        </w:trPr>
        <w:tc>
          <w:tcPr>
            <w:tcW w:w="5819" w:type="dxa"/>
            <w:gridSpan w:val="2"/>
            <w:shd w:val="clear" w:color="auto" w:fill="auto"/>
            <w:noWrap/>
            <w:vAlign w:val="bottom"/>
            <w:hideMark/>
          </w:tcPr>
          <w:p w14:paraId="172842E9"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sex</w:t>
            </w:r>
          </w:p>
        </w:tc>
        <w:tc>
          <w:tcPr>
            <w:tcW w:w="2116" w:type="dxa"/>
            <w:shd w:val="clear" w:color="auto" w:fill="auto"/>
            <w:noWrap/>
            <w:vAlign w:val="bottom"/>
            <w:hideMark/>
          </w:tcPr>
          <w:p w14:paraId="7E9B9EEF" w14:textId="77777777" w:rsidR="005054B9" w:rsidRPr="005054B9" w:rsidRDefault="005054B9" w:rsidP="005054B9">
            <w:pPr>
              <w:spacing w:after="0"/>
              <w:rPr>
                <w:rFonts w:ascii="Garamond" w:eastAsia="Times New Roman" w:hAnsi="Garamond" w:cs="Times New Roman"/>
                <w:b/>
                <w:bCs/>
                <w:color w:val="000000"/>
                <w:lang w:val="en-GB" w:eastAsia="en-GB"/>
              </w:rPr>
            </w:pPr>
          </w:p>
        </w:tc>
        <w:tc>
          <w:tcPr>
            <w:tcW w:w="1677" w:type="dxa"/>
            <w:shd w:val="clear" w:color="auto" w:fill="auto"/>
            <w:noWrap/>
            <w:vAlign w:val="bottom"/>
            <w:hideMark/>
          </w:tcPr>
          <w:p w14:paraId="332D432B" w14:textId="77777777" w:rsidR="005054B9" w:rsidRPr="005054B9" w:rsidRDefault="005054B9" w:rsidP="005054B9">
            <w:pPr>
              <w:spacing w:after="0"/>
              <w:rPr>
                <w:rFonts w:ascii="Garamond" w:eastAsia="Times New Roman" w:hAnsi="Garamond" w:cs="Times New Roman"/>
                <w:b/>
                <w:bCs/>
                <w:lang w:val="en-GB" w:eastAsia="en-GB"/>
              </w:rPr>
            </w:pPr>
          </w:p>
        </w:tc>
      </w:tr>
      <w:tr w:rsidR="005054B9" w:rsidRPr="005054B9" w14:paraId="3E1DF3DC" w14:textId="77777777" w:rsidTr="005912CC">
        <w:trPr>
          <w:trHeight w:val="285"/>
        </w:trPr>
        <w:tc>
          <w:tcPr>
            <w:tcW w:w="3899" w:type="dxa"/>
            <w:shd w:val="clear" w:color="auto" w:fill="auto"/>
            <w:noWrap/>
            <w:vAlign w:val="bottom"/>
            <w:hideMark/>
          </w:tcPr>
          <w:p w14:paraId="5FBFCE87"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Female</w:t>
            </w:r>
          </w:p>
        </w:tc>
        <w:tc>
          <w:tcPr>
            <w:tcW w:w="1920" w:type="dxa"/>
            <w:shd w:val="clear" w:color="auto" w:fill="auto"/>
            <w:noWrap/>
            <w:vAlign w:val="bottom"/>
            <w:hideMark/>
          </w:tcPr>
          <w:p w14:paraId="5C62F17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423 (15.0%)</w:t>
            </w:r>
          </w:p>
        </w:tc>
        <w:tc>
          <w:tcPr>
            <w:tcW w:w="2116" w:type="dxa"/>
            <w:shd w:val="clear" w:color="auto" w:fill="auto"/>
            <w:noWrap/>
            <w:vAlign w:val="bottom"/>
            <w:hideMark/>
          </w:tcPr>
          <w:p w14:paraId="5AD6A664"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2272 (80.7%)</w:t>
            </w:r>
          </w:p>
        </w:tc>
        <w:tc>
          <w:tcPr>
            <w:tcW w:w="1677" w:type="dxa"/>
            <w:shd w:val="clear" w:color="auto" w:fill="auto"/>
            <w:noWrap/>
            <w:vAlign w:val="bottom"/>
            <w:hideMark/>
          </w:tcPr>
          <w:p w14:paraId="77BA38B2"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0.0022</w:t>
            </w:r>
          </w:p>
        </w:tc>
      </w:tr>
      <w:tr w:rsidR="005054B9" w:rsidRPr="005054B9" w14:paraId="64ECA140" w14:textId="77777777" w:rsidTr="005054B9">
        <w:trPr>
          <w:trHeight w:val="285"/>
        </w:trPr>
        <w:tc>
          <w:tcPr>
            <w:tcW w:w="3899" w:type="dxa"/>
            <w:shd w:val="clear" w:color="auto" w:fill="auto"/>
            <w:noWrap/>
            <w:vAlign w:val="bottom"/>
            <w:hideMark/>
          </w:tcPr>
          <w:p w14:paraId="1E2107A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Male</w:t>
            </w:r>
          </w:p>
        </w:tc>
        <w:tc>
          <w:tcPr>
            <w:tcW w:w="1920" w:type="dxa"/>
            <w:shd w:val="clear" w:color="auto" w:fill="auto"/>
            <w:noWrap/>
            <w:vAlign w:val="bottom"/>
            <w:hideMark/>
          </w:tcPr>
          <w:p w14:paraId="74305FF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6 (0.2%)</w:t>
            </w:r>
          </w:p>
        </w:tc>
        <w:tc>
          <w:tcPr>
            <w:tcW w:w="3793" w:type="dxa"/>
            <w:gridSpan w:val="2"/>
            <w:shd w:val="clear" w:color="auto" w:fill="auto"/>
            <w:noWrap/>
            <w:vAlign w:val="bottom"/>
            <w:hideMark/>
          </w:tcPr>
          <w:p w14:paraId="7EDFA5E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114 (4.0%)</w:t>
            </w:r>
          </w:p>
        </w:tc>
      </w:tr>
      <w:tr w:rsidR="005054B9" w:rsidRPr="005054B9" w14:paraId="15937A2B" w14:textId="77777777" w:rsidTr="005054B9">
        <w:trPr>
          <w:trHeight w:val="285"/>
        </w:trPr>
        <w:tc>
          <w:tcPr>
            <w:tcW w:w="7935" w:type="dxa"/>
            <w:gridSpan w:val="3"/>
            <w:shd w:val="clear" w:color="auto" w:fill="auto"/>
            <w:noWrap/>
            <w:vAlign w:val="bottom"/>
            <w:hideMark/>
          </w:tcPr>
          <w:p w14:paraId="64F30AB6"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marital status</w:t>
            </w:r>
          </w:p>
        </w:tc>
        <w:tc>
          <w:tcPr>
            <w:tcW w:w="1677" w:type="dxa"/>
            <w:shd w:val="clear" w:color="auto" w:fill="auto"/>
            <w:noWrap/>
            <w:vAlign w:val="bottom"/>
            <w:hideMark/>
          </w:tcPr>
          <w:p w14:paraId="5AEEC8A0" w14:textId="77777777" w:rsidR="005054B9" w:rsidRPr="005054B9" w:rsidRDefault="005054B9" w:rsidP="005054B9">
            <w:pPr>
              <w:spacing w:after="0"/>
              <w:rPr>
                <w:rFonts w:ascii="Garamond" w:eastAsia="Times New Roman" w:hAnsi="Garamond" w:cs="Times New Roman"/>
                <w:b/>
                <w:bCs/>
                <w:color w:val="000000"/>
                <w:lang w:val="en-GB" w:eastAsia="en-GB"/>
              </w:rPr>
            </w:pPr>
          </w:p>
        </w:tc>
      </w:tr>
      <w:tr w:rsidR="005054B9" w:rsidRPr="005054B9" w14:paraId="553AD6FE" w14:textId="77777777" w:rsidTr="005912CC">
        <w:trPr>
          <w:trHeight w:val="285"/>
        </w:trPr>
        <w:tc>
          <w:tcPr>
            <w:tcW w:w="3899" w:type="dxa"/>
            <w:shd w:val="clear" w:color="auto" w:fill="auto"/>
            <w:noWrap/>
            <w:vAlign w:val="bottom"/>
            <w:hideMark/>
          </w:tcPr>
          <w:p w14:paraId="55C28781"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Divorced</w:t>
            </w:r>
          </w:p>
        </w:tc>
        <w:tc>
          <w:tcPr>
            <w:tcW w:w="1920" w:type="dxa"/>
            <w:shd w:val="clear" w:color="auto" w:fill="auto"/>
            <w:noWrap/>
            <w:vAlign w:val="bottom"/>
            <w:hideMark/>
          </w:tcPr>
          <w:p w14:paraId="22D54F6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8 (0.3%)</w:t>
            </w:r>
          </w:p>
        </w:tc>
        <w:tc>
          <w:tcPr>
            <w:tcW w:w="2116" w:type="dxa"/>
            <w:shd w:val="clear" w:color="auto" w:fill="auto"/>
            <w:noWrap/>
            <w:vAlign w:val="bottom"/>
            <w:hideMark/>
          </w:tcPr>
          <w:p w14:paraId="6C551A8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 (0.4%)</w:t>
            </w:r>
          </w:p>
        </w:tc>
        <w:tc>
          <w:tcPr>
            <w:tcW w:w="1677" w:type="dxa"/>
            <w:shd w:val="clear" w:color="auto" w:fill="auto"/>
            <w:noWrap/>
            <w:vAlign w:val="bottom"/>
            <w:hideMark/>
          </w:tcPr>
          <w:p w14:paraId="17E8B37F"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0.0182</w:t>
            </w:r>
          </w:p>
        </w:tc>
      </w:tr>
      <w:tr w:rsidR="005054B9" w:rsidRPr="005054B9" w14:paraId="3E9F303E" w14:textId="77777777" w:rsidTr="005054B9">
        <w:trPr>
          <w:trHeight w:val="285"/>
        </w:trPr>
        <w:tc>
          <w:tcPr>
            <w:tcW w:w="3899" w:type="dxa"/>
            <w:shd w:val="clear" w:color="auto" w:fill="auto"/>
            <w:noWrap/>
            <w:vAlign w:val="bottom"/>
            <w:hideMark/>
          </w:tcPr>
          <w:p w14:paraId="4D56AF8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Married</w:t>
            </w:r>
          </w:p>
        </w:tc>
        <w:tc>
          <w:tcPr>
            <w:tcW w:w="1920" w:type="dxa"/>
            <w:shd w:val="clear" w:color="auto" w:fill="auto"/>
            <w:noWrap/>
            <w:vAlign w:val="bottom"/>
            <w:hideMark/>
          </w:tcPr>
          <w:p w14:paraId="1198C56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417 (14.8%)</w:t>
            </w:r>
          </w:p>
        </w:tc>
        <w:tc>
          <w:tcPr>
            <w:tcW w:w="3793" w:type="dxa"/>
            <w:gridSpan w:val="2"/>
            <w:shd w:val="clear" w:color="auto" w:fill="auto"/>
            <w:noWrap/>
            <w:vAlign w:val="bottom"/>
            <w:hideMark/>
          </w:tcPr>
          <w:p w14:paraId="2CD9E7D2"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2356 (83.7%)</w:t>
            </w:r>
          </w:p>
        </w:tc>
      </w:tr>
      <w:tr w:rsidR="005054B9" w:rsidRPr="005054B9" w14:paraId="7EAB3E89" w14:textId="77777777" w:rsidTr="005912CC">
        <w:trPr>
          <w:trHeight w:val="285"/>
        </w:trPr>
        <w:tc>
          <w:tcPr>
            <w:tcW w:w="3899" w:type="dxa"/>
            <w:shd w:val="clear" w:color="auto" w:fill="auto"/>
            <w:noWrap/>
            <w:vAlign w:val="bottom"/>
            <w:hideMark/>
          </w:tcPr>
          <w:p w14:paraId="7C0A82E7"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Single</w:t>
            </w:r>
          </w:p>
        </w:tc>
        <w:tc>
          <w:tcPr>
            <w:tcW w:w="1920" w:type="dxa"/>
            <w:shd w:val="clear" w:color="auto" w:fill="auto"/>
            <w:noWrap/>
            <w:vAlign w:val="bottom"/>
            <w:hideMark/>
          </w:tcPr>
          <w:p w14:paraId="3A4CC397"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 (0.0%)</w:t>
            </w:r>
          </w:p>
        </w:tc>
        <w:tc>
          <w:tcPr>
            <w:tcW w:w="2116" w:type="dxa"/>
            <w:shd w:val="clear" w:color="auto" w:fill="auto"/>
            <w:noWrap/>
            <w:vAlign w:val="bottom"/>
            <w:hideMark/>
          </w:tcPr>
          <w:p w14:paraId="2DF85272"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7 (0.2%)</w:t>
            </w:r>
          </w:p>
        </w:tc>
        <w:tc>
          <w:tcPr>
            <w:tcW w:w="1677" w:type="dxa"/>
            <w:shd w:val="clear" w:color="auto" w:fill="auto"/>
            <w:noWrap/>
            <w:vAlign w:val="bottom"/>
            <w:hideMark/>
          </w:tcPr>
          <w:p w14:paraId="2A7FAA0B"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10BA30A6" w14:textId="77777777" w:rsidTr="005912CC">
        <w:trPr>
          <w:trHeight w:val="285"/>
        </w:trPr>
        <w:tc>
          <w:tcPr>
            <w:tcW w:w="3899" w:type="dxa"/>
            <w:shd w:val="clear" w:color="auto" w:fill="auto"/>
            <w:noWrap/>
            <w:vAlign w:val="bottom"/>
            <w:hideMark/>
          </w:tcPr>
          <w:p w14:paraId="0A8B061C"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Widowed</w:t>
            </w:r>
          </w:p>
        </w:tc>
        <w:tc>
          <w:tcPr>
            <w:tcW w:w="1920" w:type="dxa"/>
            <w:shd w:val="clear" w:color="auto" w:fill="auto"/>
            <w:noWrap/>
            <w:vAlign w:val="bottom"/>
            <w:hideMark/>
          </w:tcPr>
          <w:p w14:paraId="127608DC"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3 (0.1%)</w:t>
            </w:r>
          </w:p>
        </w:tc>
        <w:tc>
          <w:tcPr>
            <w:tcW w:w="2116" w:type="dxa"/>
            <w:shd w:val="clear" w:color="auto" w:fill="auto"/>
            <w:noWrap/>
            <w:vAlign w:val="bottom"/>
            <w:hideMark/>
          </w:tcPr>
          <w:p w14:paraId="553EAB9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11 (0.4%)</w:t>
            </w:r>
          </w:p>
        </w:tc>
        <w:tc>
          <w:tcPr>
            <w:tcW w:w="1677" w:type="dxa"/>
            <w:shd w:val="clear" w:color="auto" w:fill="auto"/>
            <w:noWrap/>
            <w:vAlign w:val="bottom"/>
            <w:hideMark/>
          </w:tcPr>
          <w:p w14:paraId="6049F7F4"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7DDEBF2B" w14:textId="77777777" w:rsidTr="005912CC">
        <w:trPr>
          <w:trHeight w:val="285"/>
        </w:trPr>
        <w:tc>
          <w:tcPr>
            <w:tcW w:w="5819" w:type="dxa"/>
            <w:gridSpan w:val="2"/>
            <w:shd w:val="clear" w:color="auto" w:fill="auto"/>
            <w:noWrap/>
            <w:vAlign w:val="bottom"/>
            <w:hideMark/>
          </w:tcPr>
          <w:p w14:paraId="51E8FE16"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religion</w:t>
            </w:r>
          </w:p>
        </w:tc>
        <w:tc>
          <w:tcPr>
            <w:tcW w:w="2116" w:type="dxa"/>
            <w:shd w:val="clear" w:color="auto" w:fill="auto"/>
            <w:noWrap/>
            <w:vAlign w:val="bottom"/>
            <w:hideMark/>
          </w:tcPr>
          <w:p w14:paraId="72686B27" w14:textId="77777777" w:rsidR="005054B9" w:rsidRPr="005054B9" w:rsidRDefault="005054B9" w:rsidP="005054B9">
            <w:pPr>
              <w:spacing w:after="0"/>
              <w:rPr>
                <w:rFonts w:ascii="Garamond" w:eastAsia="Times New Roman" w:hAnsi="Garamond" w:cs="Times New Roman"/>
                <w:b/>
                <w:bCs/>
                <w:color w:val="000000"/>
                <w:lang w:val="en-GB" w:eastAsia="en-GB"/>
              </w:rPr>
            </w:pPr>
          </w:p>
        </w:tc>
        <w:tc>
          <w:tcPr>
            <w:tcW w:w="1677" w:type="dxa"/>
            <w:shd w:val="clear" w:color="auto" w:fill="auto"/>
            <w:noWrap/>
            <w:vAlign w:val="bottom"/>
            <w:hideMark/>
          </w:tcPr>
          <w:p w14:paraId="2AE3BD37" w14:textId="77777777" w:rsidR="005054B9" w:rsidRPr="005054B9" w:rsidRDefault="005054B9" w:rsidP="005054B9">
            <w:pPr>
              <w:spacing w:after="0"/>
              <w:rPr>
                <w:rFonts w:ascii="Garamond" w:eastAsia="Times New Roman" w:hAnsi="Garamond" w:cs="Times New Roman"/>
                <w:b/>
                <w:bCs/>
                <w:lang w:val="en-GB" w:eastAsia="en-GB"/>
              </w:rPr>
            </w:pPr>
          </w:p>
        </w:tc>
      </w:tr>
      <w:tr w:rsidR="005054B9" w:rsidRPr="005054B9" w14:paraId="2220EF7B" w14:textId="77777777" w:rsidTr="005912CC">
        <w:trPr>
          <w:trHeight w:val="285"/>
        </w:trPr>
        <w:tc>
          <w:tcPr>
            <w:tcW w:w="3899" w:type="dxa"/>
            <w:shd w:val="clear" w:color="auto" w:fill="auto"/>
            <w:noWrap/>
            <w:vAlign w:val="bottom"/>
            <w:hideMark/>
          </w:tcPr>
          <w:p w14:paraId="6558CCC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Christianity</w:t>
            </w:r>
          </w:p>
        </w:tc>
        <w:tc>
          <w:tcPr>
            <w:tcW w:w="1920" w:type="dxa"/>
            <w:shd w:val="clear" w:color="auto" w:fill="auto"/>
            <w:noWrap/>
            <w:vAlign w:val="bottom"/>
            <w:hideMark/>
          </w:tcPr>
          <w:p w14:paraId="1AB5E22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17 (0.6%)</w:t>
            </w:r>
          </w:p>
        </w:tc>
        <w:tc>
          <w:tcPr>
            <w:tcW w:w="2116" w:type="dxa"/>
            <w:shd w:val="clear" w:color="auto" w:fill="auto"/>
            <w:noWrap/>
            <w:vAlign w:val="bottom"/>
            <w:hideMark/>
          </w:tcPr>
          <w:p w14:paraId="4EB22B3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172 (6.1%)</w:t>
            </w:r>
          </w:p>
        </w:tc>
        <w:tc>
          <w:tcPr>
            <w:tcW w:w="1677" w:type="dxa"/>
            <w:shd w:val="clear" w:color="auto" w:fill="auto"/>
            <w:noWrap/>
            <w:vAlign w:val="bottom"/>
            <w:hideMark/>
          </w:tcPr>
          <w:p w14:paraId="2431B607"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0.0179</w:t>
            </w:r>
          </w:p>
        </w:tc>
      </w:tr>
      <w:tr w:rsidR="005054B9" w:rsidRPr="005054B9" w14:paraId="7A0198C1" w14:textId="77777777" w:rsidTr="005054B9">
        <w:trPr>
          <w:trHeight w:val="285"/>
        </w:trPr>
        <w:tc>
          <w:tcPr>
            <w:tcW w:w="3899" w:type="dxa"/>
            <w:shd w:val="clear" w:color="auto" w:fill="auto"/>
            <w:noWrap/>
            <w:vAlign w:val="bottom"/>
            <w:hideMark/>
          </w:tcPr>
          <w:p w14:paraId="648FF95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Islam</w:t>
            </w:r>
          </w:p>
        </w:tc>
        <w:tc>
          <w:tcPr>
            <w:tcW w:w="1920" w:type="dxa"/>
            <w:shd w:val="clear" w:color="auto" w:fill="auto"/>
            <w:noWrap/>
            <w:vAlign w:val="bottom"/>
            <w:hideMark/>
          </w:tcPr>
          <w:p w14:paraId="025DF054"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412 (14.6%)</w:t>
            </w:r>
          </w:p>
        </w:tc>
        <w:tc>
          <w:tcPr>
            <w:tcW w:w="3793" w:type="dxa"/>
            <w:gridSpan w:val="2"/>
            <w:shd w:val="clear" w:color="auto" w:fill="auto"/>
            <w:noWrap/>
            <w:vAlign w:val="bottom"/>
            <w:hideMark/>
          </w:tcPr>
          <w:p w14:paraId="68D978F1"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2214 (78.7%)</w:t>
            </w:r>
          </w:p>
        </w:tc>
      </w:tr>
      <w:tr w:rsidR="005054B9" w:rsidRPr="005054B9" w14:paraId="6865C67E" w14:textId="77777777" w:rsidTr="005912CC">
        <w:trPr>
          <w:trHeight w:val="285"/>
        </w:trPr>
        <w:tc>
          <w:tcPr>
            <w:tcW w:w="5819" w:type="dxa"/>
            <w:gridSpan w:val="2"/>
            <w:shd w:val="clear" w:color="auto" w:fill="auto"/>
            <w:noWrap/>
            <w:vAlign w:val="bottom"/>
            <w:hideMark/>
          </w:tcPr>
          <w:p w14:paraId="2A4E27D7"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Edu</w:t>
            </w:r>
          </w:p>
        </w:tc>
        <w:tc>
          <w:tcPr>
            <w:tcW w:w="2116" w:type="dxa"/>
            <w:shd w:val="clear" w:color="auto" w:fill="auto"/>
            <w:noWrap/>
            <w:vAlign w:val="bottom"/>
            <w:hideMark/>
          </w:tcPr>
          <w:p w14:paraId="135B232C" w14:textId="77777777" w:rsidR="005054B9" w:rsidRPr="005054B9" w:rsidRDefault="005054B9" w:rsidP="005054B9">
            <w:pPr>
              <w:spacing w:after="0"/>
              <w:rPr>
                <w:rFonts w:ascii="Garamond" w:eastAsia="Times New Roman" w:hAnsi="Garamond" w:cs="Times New Roman"/>
                <w:b/>
                <w:bCs/>
                <w:color w:val="000000"/>
                <w:lang w:val="en-GB" w:eastAsia="en-GB"/>
              </w:rPr>
            </w:pPr>
          </w:p>
        </w:tc>
        <w:tc>
          <w:tcPr>
            <w:tcW w:w="1677" w:type="dxa"/>
            <w:shd w:val="clear" w:color="auto" w:fill="auto"/>
            <w:noWrap/>
            <w:vAlign w:val="bottom"/>
            <w:hideMark/>
          </w:tcPr>
          <w:p w14:paraId="2A610E13" w14:textId="77777777" w:rsidR="005054B9" w:rsidRPr="005054B9" w:rsidRDefault="005054B9" w:rsidP="005054B9">
            <w:pPr>
              <w:spacing w:after="0"/>
              <w:rPr>
                <w:rFonts w:ascii="Garamond" w:eastAsia="Times New Roman" w:hAnsi="Garamond" w:cs="Times New Roman"/>
                <w:b/>
                <w:bCs/>
                <w:lang w:val="en-GB" w:eastAsia="en-GB"/>
              </w:rPr>
            </w:pPr>
          </w:p>
        </w:tc>
      </w:tr>
      <w:tr w:rsidR="005054B9" w:rsidRPr="005054B9" w14:paraId="762A94B6" w14:textId="77777777" w:rsidTr="005912CC">
        <w:trPr>
          <w:trHeight w:val="285"/>
        </w:trPr>
        <w:tc>
          <w:tcPr>
            <w:tcW w:w="3899" w:type="dxa"/>
            <w:shd w:val="clear" w:color="auto" w:fill="auto"/>
            <w:noWrap/>
            <w:vAlign w:val="bottom"/>
            <w:hideMark/>
          </w:tcPr>
          <w:p w14:paraId="237CB694"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No</w:t>
            </w:r>
          </w:p>
        </w:tc>
        <w:tc>
          <w:tcPr>
            <w:tcW w:w="1920" w:type="dxa"/>
            <w:shd w:val="clear" w:color="auto" w:fill="auto"/>
            <w:noWrap/>
            <w:vAlign w:val="bottom"/>
            <w:hideMark/>
          </w:tcPr>
          <w:p w14:paraId="0275075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212 (7.5%)</w:t>
            </w:r>
          </w:p>
        </w:tc>
        <w:tc>
          <w:tcPr>
            <w:tcW w:w="2116" w:type="dxa"/>
            <w:shd w:val="clear" w:color="auto" w:fill="auto"/>
            <w:noWrap/>
            <w:vAlign w:val="bottom"/>
            <w:hideMark/>
          </w:tcPr>
          <w:p w14:paraId="5EA7313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1192 (42.3%)</w:t>
            </w:r>
          </w:p>
        </w:tc>
        <w:tc>
          <w:tcPr>
            <w:tcW w:w="1677" w:type="dxa"/>
            <w:shd w:val="clear" w:color="auto" w:fill="auto"/>
            <w:noWrap/>
            <w:vAlign w:val="bottom"/>
            <w:hideMark/>
          </w:tcPr>
          <w:p w14:paraId="4F1866BF"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0.8777</w:t>
            </w:r>
          </w:p>
        </w:tc>
      </w:tr>
      <w:tr w:rsidR="005054B9" w:rsidRPr="005054B9" w14:paraId="2F594D40" w14:textId="77777777" w:rsidTr="005054B9">
        <w:trPr>
          <w:trHeight w:val="285"/>
        </w:trPr>
        <w:tc>
          <w:tcPr>
            <w:tcW w:w="3899" w:type="dxa"/>
            <w:shd w:val="clear" w:color="auto" w:fill="auto"/>
            <w:noWrap/>
            <w:vAlign w:val="bottom"/>
            <w:hideMark/>
          </w:tcPr>
          <w:p w14:paraId="5A97F67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Yes</w:t>
            </w:r>
          </w:p>
        </w:tc>
        <w:tc>
          <w:tcPr>
            <w:tcW w:w="1920" w:type="dxa"/>
            <w:shd w:val="clear" w:color="auto" w:fill="auto"/>
            <w:noWrap/>
            <w:vAlign w:val="bottom"/>
            <w:hideMark/>
          </w:tcPr>
          <w:p w14:paraId="12D6FFE3"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217 (7.7%)</w:t>
            </w:r>
          </w:p>
        </w:tc>
        <w:tc>
          <w:tcPr>
            <w:tcW w:w="3793" w:type="dxa"/>
            <w:gridSpan w:val="2"/>
            <w:shd w:val="clear" w:color="auto" w:fill="auto"/>
            <w:noWrap/>
            <w:vAlign w:val="bottom"/>
            <w:hideMark/>
          </w:tcPr>
          <w:p w14:paraId="5D2353F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1194 (42.4%)</w:t>
            </w:r>
          </w:p>
        </w:tc>
      </w:tr>
      <w:tr w:rsidR="005054B9" w:rsidRPr="005054B9" w14:paraId="4187D3D2" w14:textId="77777777" w:rsidTr="005912CC">
        <w:trPr>
          <w:trHeight w:val="285"/>
        </w:trPr>
        <w:tc>
          <w:tcPr>
            <w:tcW w:w="5819" w:type="dxa"/>
            <w:gridSpan w:val="2"/>
            <w:shd w:val="clear" w:color="auto" w:fill="auto"/>
            <w:noWrap/>
            <w:vAlign w:val="bottom"/>
            <w:hideMark/>
          </w:tcPr>
          <w:p w14:paraId="0FF56945"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Edu level</w:t>
            </w:r>
          </w:p>
        </w:tc>
        <w:tc>
          <w:tcPr>
            <w:tcW w:w="2116" w:type="dxa"/>
            <w:shd w:val="clear" w:color="auto" w:fill="auto"/>
            <w:noWrap/>
            <w:vAlign w:val="bottom"/>
            <w:hideMark/>
          </w:tcPr>
          <w:p w14:paraId="54D42773" w14:textId="77777777" w:rsidR="005054B9" w:rsidRPr="005054B9" w:rsidRDefault="005054B9" w:rsidP="005054B9">
            <w:pPr>
              <w:spacing w:after="0"/>
              <w:rPr>
                <w:rFonts w:ascii="Garamond" w:eastAsia="Times New Roman" w:hAnsi="Garamond" w:cs="Times New Roman"/>
                <w:b/>
                <w:bCs/>
                <w:color w:val="000000"/>
                <w:lang w:val="en-GB" w:eastAsia="en-GB"/>
              </w:rPr>
            </w:pPr>
          </w:p>
        </w:tc>
        <w:tc>
          <w:tcPr>
            <w:tcW w:w="1677" w:type="dxa"/>
            <w:shd w:val="clear" w:color="auto" w:fill="auto"/>
            <w:noWrap/>
            <w:vAlign w:val="bottom"/>
            <w:hideMark/>
          </w:tcPr>
          <w:p w14:paraId="69FA4722" w14:textId="77777777" w:rsidR="005054B9" w:rsidRPr="005054B9" w:rsidRDefault="005054B9" w:rsidP="005054B9">
            <w:pPr>
              <w:spacing w:after="0"/>
              <w:rPr>
                <w:rFonts w:ascii="Garamond" w:eastAsia="Times New Roman" w:hAnsi="Garamond" w:cs="Times New Roman"/>
                <w:b/>
                <w:bCs/>
                <w:lang w:val="en-GB" w:eastAsia="en-GB"/>
              </w:rPr>
            </w:pPr>
          </w:p>
        </w:tc>
      </w:tr>
      <w:tr w:rsidR="005054B9" w:rsidRPr="005054B9" w14:paraId="27E7051D" w14:textId="77777777" w:rsidTr="005912CC">
        <w:trPr>
          <w:trHeight w:val="285"/>
        </w:trPr>
        <w:tc>
          <w:tcPr>
            <w:tcW w:w="3899" w:type="dxa"/>
            <w:shd w:val="clear" w:color="auto" w:fill="auto"/>
            <w:noWrap/>
            <w:vAlign w:val="bottom"/>
            <w:hideMark/>
          </w:tcPr>
          <w:p w14:paraId="12D5EB6B"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Don’t know</w:t>
            </w:r>
          </w:p>
        </w:tc>
        <w:tc>
          <w:tcPr>
            <w:tcW w:w="1920" w:type="dxa"/>
            <w:shd w:val="clear" w:color="auto" w:fill="auto"/>
            <w:noWrap/>
            <w:vAlign w:val="bottom"/>
            <w:hideMark/>
          </w:tcPr>
          <w:p w14:paraId="33B53054"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 (0.0%)</w:t>
            </w:r>
          </w:p>
        </w:tc>
        <w:tc>
          <w:tcPr>
            <w:tcW w:w="2116" w:type="dxa"/>
            <w:shd w:val="clear" w:color="auto" w:fill="auto"/>
            <w:noWrap/>
            <w:vAlign w:val="bottom"/>
            <w:hideMark/>
          </w:tcPr>
          <w:p w14:paraId="490BD2CB"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 (0.9%)</w:t>
            </w:r>
          </w:p>
        </w:tc>
        <w:tc>
          <w:tcPr>
            <w:tcW w:w="1677" w:type="dxa"/>
            <w:shd w:val="clear" w:color="auto" w:fill="auto"/>
            <w:noWrap/>
            <w:vAlign w:val="bottom"/>
            <w:hideMark/>
          </w:tcPr>
          <w:p w14:paraId="65A28C23"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w:t>
            </w:r>
          </w:p>
        </w:tc>
      </w:tr>
      <w:tr w:rsidR="005054B9" w:rsidRPr="005054B9" w14:paraId="01E1052E" w14:textId="77777777" w:rsidTr="005054B9">
        <w:trPr>
          <w:trHeight w:val="285"/>
        </w:trPr>
        <w:tc>
          <w:tcPr>
            <w:tcW w:w="3899" w:type="dxa"/>
            <w:shd w:val="clear" w:color="auto" w:fill="auto"/>
            <w:noWrap/>
            <w:vAlign w:val="bottom"/>
            <w:hideMark/>
          </w:tcPr>
          <w:p w14:paraId="64BC00AD"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Higher</w:t>
            </w:r>
          </w:p>
        </w:tc>
        <w:tc>
          <w:tcPr>
            <w:tcW w:w="1920" w:type="dxa"/>
            <w:shd w:val="clear" w:color="auto" w:fill="auto"/>
            <w:noWrap/>
            <w:vAlign w:val="bottom"/>
            <w:hideMark/>
          </w:tcPr>
          <w:p w14:paraId="1B72D035"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25 (1.8%)</w:t>
            </w:r>
          </w:p>
        </w:tc>
        <w:tc>
          <w:tcPr>
            <w:tcW w:w="3793" w:type="dxa"/>
            <w:gridSpan w:val="2"/>
            <w:shd w:val="clear" w:color="auto" w:fill="auto"/>
            <w:noWrap/>
            <w:vAlign w:val="bottom"/>
            <w:hideMark/>
          </w:tcPr>
          <w:p w14:paraId="1EAA2F30"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124 (8.8%)</w:t>
            </w:r>
          </w:p>
        </w:tc>
      </w:tr>
      <w:tr w:rsidR="005054B9" w:rsidRPr="005054B9" w14:paraId="08E28F84" w14:textId="77777777" w:rsidTr="005912CC">
        <w:trPr>
          <w:trHeight w:val="285"/>
        </w:trPr>
        <w:tc>
          <w:tcPr>
            <w:tcW w:w="3899" w:type="dxa"/>
            <w:shd w:val="clear" w:color="auto" w:fill="auto"/>
            <w:noWrap/>
            <w:vAlign w:val="bottom"/>
            <w:hideMark/>
          </w:tcPr>
          <w:p w14:paraId="309066C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Pre-primary/kindergarten</w:t>
            </w:r>
          </w:p>
        </w:tc>
        <w:tc>
          <w:tcPr>
            <w:tcW w:w="1920" w:type="dxa"/>
            <w:shd w:val="clear" w:color="auto" w:fill="auto"/>
            <w:noWrap/>
            <w:vAlign w:val="bottom"/>
            <w:hideMark/>
          </w:tcPr>
          <w:p w14:paraId="2EC42C40"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3 (0.2%)</w:t>
            </w:r>
          </w:p>
        </w:tc>
        <w:tc>
          <w:tcPr>
            <w:tcW w:w="2116" w:type="dxa"/>
            <w:shd w:val="clear" w:color="auto" w:fill="auto"/>
            <w:noWrap/>
            <w:vAlign w:val="bottom"/>
            <w:hideMark/>
          </w:tcPr>
          <w:p w14:paraId="36E26E10"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38 (2.7%)</w:t>
            </w:r>
          </w:p>
        </w:tc>
        <w:tc>
          <w:tcPr>
            <w:tcW w:w="1677" w:type="dxa"/>
            <w:shd w:val="clear" w:color="auto" w:fill="auto"/>
            <w:noWrap/>
            <w:vAlign w:val="bottom"/>
            <w:hideMark/>
          </w:tcPr>
          <w:p w14:paraId="27A53B59"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41932180" w14:textId="77777777" w:rsidTr="005054B9">
        <w:trPr>
          <w:trHeight w:val="285"/>
        </w:trPr>
        <w:tc>
          <w:tcPr>
            <w:tcW w:w="3899" w:type="dxa"/>
            <w:shd w:val="clear" w:color="auto" w:fill="auto"/>
            <w:noWrap/>
            <w:vAlign w:val="bottom"/>
            <w:hideMark/>
          </w:tcPr>
          <w:p w14:paraId="76A867A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Primary</w:t>
            </w:r>
          </w:p>
        </w:tc>
        <w:tc>
          <w:tcPr>
            <w:tcW w:w="1920" w:type="dxa"/>
            <w:shd w:val="clear" w:color="auto" w:fill="auto"/>
            <w:noWrap/>
            <w:vAlign w:val="bottom"/>
            <w:hideMark/>
          </w:tcPr>
          <w:p w14:paraId="359E8F4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65 (4.6%)</w:t>
            </w:r>
          </w:p>
        </w:tc>
        <w:tc>
          <w:tcPr>
            <w:tcW w:w="3793" w:type="dxa"/>
            <w:gridSpan w:val="2"/>
            <w:shd w:val="clear" w:color="auto" w:fill="auto"/>
            <w:noWrap/>
            <w:vAlign w:val="bottom"/>
            <w:hideMark/>
          </w:tcPr>
          <w:p w14:paraId="1EEB3D15"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562 (39.8%)</w:t>
            </w:r>
          </w:p>
        </w:tc>
      </w:tr>
      <w:tr w:rsidR="005054B9" w:rsidRPr="005054B9" w14:paraId="0152636E" w14:textId="77777777" w:rsidTr="005054B9">
        <w:trPr>
          <w:trHeight w:val="285"/>
        </w:trPr>
        <w:tc>
          <w:tcPr>
            <w:tcW w:w="3899" w:type="dxa"/>
            <w:shd w:val="clear" w:color="auto" w:fill="auto"/>
            <w:noWrap/>
            <w:vAlign w:val="bottom"/>
            <w:hideMark/>
          </w:tcPr>
          <w:p w14:paraId="4479014B"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Secondary</w:t>
            </w:r>
          </w:p>
        </w:tc>
        <w:tc>
          <w:tcPr>
            <w:tcW w:w="1920" w:type="dxa"/>
            <w:shd w:val="clear" w:color="auto" w:fill="auto"/>
            <w:noWrap/>
            <w:vAlign w:val="bottom"/>
            <w:hideMark/>
          </w:tcPr>
          <w:p w14:paraId="71337342"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124 (8.8%)</w:t>
            </w:r>
          </w:p>
        </w:tc>
        <w:tc>
          <w:tcPr>
            <w:tcW w:w="3793" w:type="dxa"/>
            <w:gridSpan w:val="2"/>
            <w:shd w:val="clear" w:color="auto" w:fill="auto"/>
            <w:noWrap/>
            <w:vAlign w:val="bottom"/>
            <w:hideMark/>
          </w:tcPr>
          <w:p w14:paraId="5DD9A31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458 (32.5%)</w:t>
            </w:r>
          </w:p>
        </w:tc>
      </w:tr>
      <w:tr w:rsidR="005054B9" w:rsidRPr="005054B9" w14:paraId="571A1111" w14:textId="77777777" w:rsidTr="005054B9">
        <w:trPr>
          <w:trHeight w:val="285"/>
        </w:trPr>
        <w:tc>
          <w:tcPr>
            <w:tcW w:w="7935" w:type="dxa"/>
            <w:gridSpan w:val="3"/>
            <w:shd w:val="clear" w:color="auto" w:fill="auto"/>
            <w:noWrap/>
            <w:vAlign w:val="bottom"/>
            <w:hideMark/>
          </w:tcPr>
          <w:p w14:paraId="50BD1DAB"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Employment</w:t>
            </w:r>
          </w:p>
        </w:tc>
        <w:tc>
          <w:tcPr>
            <w:tcW w:w="1677" w:type="dxa"/>
            <w:shd w:val="clear" w:color="auto" w:fill="auto"/>
            <w:noWrap/>
            <w:vAlign w:val="bottom"/>
            <w:hideMark/>
          </w:tcPr>
          <w:p w14:paraId="0228177F" w14:textId="77777777" w:rsidR="005054B9" w:rsidRPr="005054B9" w:rsidRDefault="005054B9" w:rsidP="005054B9">
            <w:pPr>
              <w:spacing w:after="0"/>
              <w:rPr>
                <w:rFonts w:ascii="Garamond" w:eastAsia="Times New Roman" w:hAnsi="Garamond" w:cs="Times New Roman"/>
                <w:b/>
                <w:bCs/>
                <w:color w:val="000000"/>
                <w:lang w:val="en-GB" w:eastAsia="en-GB"/>
              </w:rPr>
            </w:pPr>
          </w:p>
        </w:tc>
      </w:tr>
      <w:tr w:rsidR="005054B9" w:rsidRPr="005054B9" w14:paraId="6BC90786" w14:textId="77777777" w:rsidTr="005912CC">
        <w:trPr>
          <w:trHeight w:val="285"/>
        </w:trPr>
        <w:tc>
          <w:tcPr>
            <w:tcW w:w="3899" w:type="dxa"/>
            <w:shd w:val="clear" w:color="auto" w:fill="auto"/>
            <w:noWrap/>
            <w:vAlign w:val="bottom"/>
            <w:hideMark/>
          </w:tcPr>
          <w:p w14:paraId="1E0DA04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Employed</w:t>
            </w:r>
          </w:p>
        </w:tc>
        <w:tc>
          <w:tcPr>
            <w:tcW w:w="1920" w:type="dxa"/>
            <w:shd w:val="clear" w:color="auto" w:fill="auto"/>
            <w:noWrap/>
            <w:vAlign w:val="bottom"/>
            <w:hideMark/>
          </w:tcPr>
          <w:p w14:paraId="0BCAB23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9 (0.3%)</w:t>
            </w:r>
          </w:p>
        </w:tc>
        <w:tc>
          <w:tcPr>
            <w:tcW w:w="2116" w:type="dxa"/>
            <w:shd w:val="clear" w:color="auto" w:fill="auto"/>
            <w:noWrap/>
            <w:vAlign w:val="bottom"/>
            <w:hideMark/>
          </w:tcPr>
          <w:p w14:paraId="7A249DF5"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133 (4.7%)</w:t>
            </w:r>
          </w:p>
        </w:tc>
        <w:tc>
          <w:tcPr>
            <w:tcW w:w="1677" w:type="dxa"/>
            <w:shd w:val="clear" w:color="auto" w:fill="auto"/>
            <w:noWrap/>
            <w:vAlign w:val="bottom"/>
            <w:hideMark/>
          </w:tcPr>
          <w:p w14:paraId="69CCAB00"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w:t>
            </w:r>
          </w:p>
        </w:tc>
      </w:tr>
      <w:tr w:rsidR="005054B9" w:rsidRPr="005054B9" w14:paraId="1997AF55" w14:textId="77777777" w:rsidTr="005054B9">
        <w:trPr>
          <w:trHeight w:val="285"/>
        </w:trPr>
        <w:tc>
          <w:tcPr>
            <w:tcW w:w="3899" w:type="dxa"/>
            <w:shd w:val="clear" w:color="auto" w:fill="auto"/>
            <w:noWrap/>
            <w:vAlign w:val="bottom"/>
            <w:hideMark/>
          </w:tcPr>
          <w:p w14:paraId="1A32886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Self-employed</w:t>
            </w:r>
          </w:p>
        </w:tc>
        <w:tc>
          <w:tcPr>
            <w:tcW w:w="1920" w:type="dxa"/>
            <w:shd w:val="clear" w:color="auto" w:fill="auto"/>
            <w:noWrap/>
            <w:vAlign w:val="bottom"/>
            <w:hideMark/>
          </w:tcPr>
          <w:p w14:paraId="1FA8BB6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233 (8.3%)</w:t>
            </w:r>
          </w:p>
        </w:tc>
        <w:tc>
          <w:tcPr>
            <w:tcW w:w="3793" w:type="dxa"/>
            <w:gridSpan w:val="2"/>
            <w:shd w:val="clear" w:color="auto" w:fill="auto"/>
            <w:noWrap/>
            <w:vAlign w:val="bottom"/>
            <w:hideMark/>
          </w:tcPr>
          <w:p w14:paraId="272A374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927 (32.9%)</w:t>
            </w:r>
          </w:p>
        </w:tc>
      </w:tr>
      <w:tr w:rsidR="005054B9" w:rsidRPr="005054B9" w14:paraId="726FFC31" w14:textId="77777777" w:rsidTr="005054B9">
        <w:trPr>
          <w:trHeight w:val="285"/>
        </w:trPr>
        <w:tc>
          <w:tcPr>
            <w:tcW w:w="3899" w:type="dxa"/>
            <w:shd w:val="clear" w:color="auto" w:fill="auto"/>
            <w:noWrap/>
            <w:vAlign w:val="bottom"/>
            <w:hideMark/>
          </w:tcPr>
          <w:p w14:paraId="6B2E121D"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Unemployed</w:t>
            </w:r>
          </w:p>
        </w:tc>
        <w:tc>
          <w:tcPr>
            <w:tcW w:w="1920" w:type="dxa"/>
            <w:shd w:val="clear" w:color="auto" w:fill="auto"/>
            <w:noWrap/>
            <w:vAlign w:val="bottom"/>
            <w:hideMark/>
          </w:tcPr>
          <w:p w14:paraId="6179D240"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187 (6.6%)</w:t>
            </w:r>
          </w:p>
        </w:tc>
        <w:tc>
          <w:tcPr>
            <w:tcW w:w="3793" w:type="dxa"/>
            <w:gridSpan w:val="2"/>
            <w:shd w:val="clear" w:color="auto" w:fill="auto"/>
            <w:noWrap/>
            <w:vAlign w:val="bottom"/>
            <w:hideMark/>
          </w:tcPr>
          <w:p w14:paraId="1983DADC"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1319 (46.9%)</w:t>
            </w:r>
          </w:p>
        </w:tc>
      </w:tr>
      <w:tr w:rsidR="005054B9" w:rsidRPr="005054B9" w14:paraId="16508F30" w14:textId="77777777" w:rsidTr="005912CC">
        <w:trPr>
          <w:trHeight w:val="285"/>
        </w:trPr>
        <w:tc>
          <w:tcPr>
            <w:tcW w:w="3899" w:type="dxa"/>
            <w:shd w:val="clear" w:color="auto" w:fill="auto"/>
            <w:noWrap/>
            <w:vAlign w:val="bottom"/>
            <w:hideMark/>
          </w:tcPr>
          <w:p w14:paraId="4D2ACE93"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 xml:space="preserve">Unemployed </w:t>
            </w:r>
          </w:p>
        </w:tc>
        <w:tc>
          <w:tcPr>
            <w:tcW w:w="1920" w:type="dxa"/>
            <w:shd w:val="clear" w:color="auto" w:fill="auto"/>
            <w:noWrap/>
            <w:vAlign w:val="bottom"/>
            <w:hideMark/>
          </w:tcPr>
          <w:p w14:paraId="7E43B11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 (0.0%)</w:t>
            </w:r>
          </w:p>
        </w:tc>
        <w:tc>
          <w:tcPr>
            <w:tcW w:w="2116" w:type="dxa"/>
            <w:shd w:val="clear" w:color="auto" w:fill="auto"/>
            <w:noWrap/>
            <w:vAlign w:val="bottom"/>
            <w:hideMark/>
          </w:tcPr>
          <w:p w14:paraId="05EDE1C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7 (0.2%)</w:t>
            </w:r>
          </w:p>
        </w:tc>
        <w:tc>
          <w:tcPr>
            <w:tcW w:w="1677" w:type="dxa"/>
            <w:shd w:val="clear" w:color="auto" w:fill="auto"/>
            <w:noWrap/>
            <w:vAlign w:val="bottom"/>
            <w:hideMark/>
          </w:tcPr>
          <w:p w14:paraId="11FC4786"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33E2C0A3" w14:textId="77777777" w:rsidTr="005054B9">
        <w:trPr>
          <w:trHeight w:val="285"/>
        </w:trPr>
        <w:tc>
          <w:tcPr>
            <w:tcW w:w="7935" w:type="dxa"/>
            <w:gridSpan w:val="3"/>
            <w:shd w:val="clear" w:color="auto" w:fill="auto"/>
            <w:noWrap/>
            <w:vAlign w:val="bottom"/>
            <w:hideMark/>
          </w:tcPr>
          <w:p w14:paraId="2B91DE0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Caregiver occupation</w:t>
            </w:r>
          </w:p>
        </w:tc>
        <w:tc>
          <w:tcPr>
            <w:tcW w:w="1677" w:type="dxa"/>
            <w:shd w:val="clear" w:color="auto" w:fill="auto"/>
            <w:noWrap/>
            <w:vAlign w:val="bottom"/>
            <w:hideMark/>
          </w:tcPr>
          <w:p w14:paraId="1600B314"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688D7D4B" w14:textId="77777777" w:rsidTr="005912CC">
        <w:trPr>
          <w:trHeight w:val="285"/>
        </w:trPr>
        <w:tc>
          <w:tcPr>
            <w:tcW w:w="3899" w:type="dxa"/>
            <w:shd w:val="clear" w:color="auto" w:fill="auto"/>
            <w:noWrap/>
            <w:vAlign w:val="bottom"/>
            <w:hideMark/>
          </w:tcPr>
          <w:p w14:paraId="1D04F3CD"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Cattle rearing</w:t>
            </w:r>
          </w:p>
        </w:tc>
        <w:tc>
          <w:tcPr>
            <w:tcW w:w="1920" w:type="dxa"/>
            <w:shd w:val="clear" w:color="auto" w:fill="auto"/>
            <w:noWrap/>
            <w:vAlign w:val="bottom"/>
            <w:hideMark/>
          </w:tcPr>
          <w:p w14:paraId="6209B6F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 (0.2%)</w:t>
            </w:r>
          </w:p>
        </w:tc>
        <w:tc>
          <w:tcPr>
            <w:tcW w:w="2116" w:type="dxa"/>
            <w:shd w:val="clear" w:color="auto" w:fill="auto"/>
            <w:noWrap/>
            <w:vAlign w:val="bottom"/>
            <w:hideMark/>
          </w:tcPr>
          <w:p w14:paraId="29BE1EF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24 (1.8%)</w:t>
            </w:r>
          </w:p>
        </w:tc>
        <w:tc>
          <w:tcPr>
            <w:tcW w:w="1677" w:type="dxa"/>
            <w:shd w:val="clear" w:color="auto" w:fill="auto"/>
            <w:noWrap/>
            <w:vAlign w:val="bottom"/>
            <w:hideMark/>
          </w:tcPr>
          <w:p w14:paraId="7DB6CAC2"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0.0057</w:t>
            </w:r>
          </w:p>
        </w:tc>
      </w:tr>
      <w:tr w:rsidR="005054B9" w:rsidRPr="005054B9" w14:paraId="19767F12" w14:textId="77777777" w:rsidTr="005912CC">
        <w:trPr>
          <w:trHeight w:val="285"/>
        </w:trPr>
        <w:tc>
          <w:tcPr>
            <w:tcW w:w="3899" w:type="dxa"/>
            <w:shd w:val="clear" w:color="auto" w:fill="auto"/>
            <w:noWrap/>
            <w:vAlign w:val="bottom"/>
            <w:hideMark/>
          </w:tcPr>
          <w:p w14:paraId="170C9A2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lastRenderedPageBreak/>
              <w:t>Civil Servant</w:t>
            </w:r>
          </w:p>
        </w:tc>
        <w:tc>
          <w:tcPr>
            <w:tcW w:w="1920" w:type="dxa"/>
            <w:shd w:val="clear" w:color="auto" w:fill="auto"/>
            <w:noWrap/>
            <w:vAlign w:val="bottom"/>
            <w:hideMark/>
          </w:tcPr>
          <w:p w14:paraId="5982F0A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8 (0.6%)</w:t>
            </w:r>
          </w:p>
        </w:tc>
        <w:tc>
          <w:tcPr>
            <w:tcW w:w="2116" w:type="dxa"/>
            <w:shd w:val="clear" w:color="auto" w:fill="auto"/>
            <w:noWrap/>
            <w:vAlign w:val="bottom"/>
            <w:hideMark/>
          </w:tcPr>
          <w:p w14:paraId="0F574E1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50 (3.8%)</w:t>
            </w:r>
          </w:p>
        </w:tc>
        <w:tc>
          <w:tcPr>
            <w:tcW w:w="1677" w:type="dxa"/>
            <w:shd w:val="clear" w:color="auto" w:fill="auto"/>
            <w:noWrap/>
            <w:vAlign w:val="bottom"/>
            <w:hideMark/>
          </w:tcPr>
          <w:p w14:paraId="235BF298"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48EB23DA" w14:textId="77777777" w:rsidTr="005054B9">
        <w:trPr>
          <w:trHeight w:val="285"/>
        </w:trPr>
        <w:tc>
          <w:tcPr>
            <w:tcW w:w="3899" w:type="dxa"/>
            <w:shd w:val="clear" w:color="auto" w:fill="auto"/>
            <w:noWrap/>
            <w:vAlign w:val="bottom"/>
            <w:hideMark/>
          </w:tcPr>
          <w:p w14:paraId="71F5A4C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Farming</w:t>
            </w:r>
          </w:p>
        </w:tc>
        <w:tc>
          <w:tcPr>
            <w:tcW w:w="1920" w:type="dxa"/>
            <w:shd w:val="clear" w:color="auto" w:fill="auto"/>
            <w:noWrap/>
            <w:vAlign w:val="bottom"/>
            <w:hideMark/>
          </w:tcPr>
          <w:p w14:paraId="77C0A024"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13 (1.0%)</w:t>
            </w:r>
          </w:p>
        </w:tc>
        <w:tc>
          <w:tcPr>
            <w:tcW w:w="3793" w:type="dxa"/>
            <w:gridSpan w:val="2"/>
            <w:shd w:val="clear" w:color="auto" w:fill="auto"/>
            <w:noWrap/>
            <w:vAlign w:val="bottom"/>
            <w:hideMark/>
          </w:tcPr>
          <w:p w14:paraId="33CC8A87"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133 (10.2%)</w:t>
            </w:r>
          </w:p>
        </w:tc>
      </w:tr>
      <w:tr w:rsidR="005054B9" w:rsidRPr="005054B9" w14:paraId="63D7C3E2" w14:textId="77777777" w:rsidTr="005912CC">
        <w:trPr>
          <w:trHeight w:val="285"/>
        </w:trPr>
        <w:tc>
          <w:tcPr>
            <w:tcW w:w="3899" w:type="dxa"/>
            <w:shd w:val="clear" w:color="auto" w:fill="auto"/>
            <w:noWrap/>
            <w:vAlign w:val="bottom"/>
            <w:hideMark/>
          </w:tcPr>
          <w:p w14:paraId="7FCB2E9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Fishing</w:t>
            </w:r>
          </w:p>
        </w:tc>
        <w:tc>
          <w:tcPr>
            <w:tcW w:w="1920" w:type="dxa"/>
            <w:shd w:val="clear" w:color="auto" w:fill="auto"/>
            <w:noWrap/>
            <w:vAlign w:val="bottom"/>
            <w:hideMark/>
          </w:tcPr>
          <w:p w14:paraId="30C86E1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 (0.0%)</w:t>
            </w:r>
          </w:p>
        </w:tc>
        <w:tc>
          <w:tcPr>
            <w:tcW w:w="2116" w:type="dxa"/>
            <w:shd w:val="clear" w:color="auto" w:fill="auto"/>
            <w:noWrap/>
            <w:vAlign w:val="bottom"/>
            <w:hideMark/>
          </w:tcPr>
          <w:p w14:paraId="14344A97"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 (0.3%)</w:t>
            </w:r>
          </w:p>
        </w:tc>
        <w:tc>
          <w:tcPr>
            <w:tcW w:w="1677" w:type="dxa"/>
            <w:shd w:val="clear" w:color="auto" w:fill="auto"/>
            <w:noWrap/>
            <w:vAlign w:val="bottom"/>
            <w:hideMark/>
          </w:tcPr>
          <w:p w14:paraId="351E3B5A"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2FC4306E" w14:textId="77777777" w:rsidTr="005054B9">
        <w:trPr>
          <w:trHeight w:val="285"/>
        </w:trPr>
        <w:tc>
          <w:tcPr>
            <w:tcW w:w="3899" w:type="dxa"/>
            <w:shd w:val="clear" w:color="auto" w:fill="auto"/>
            <w:noWrap/>
            <w:vAlign w:val="bottom"/>
            <w:hideMark/>
          </w:tcPr>
          <w:p w14:paraId="6782AD4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Other</w:t>
            </w:r>
          </w:p>
        </w:tc>
        <w:tc>
          <w:tcPr>
            <w:tcW w:w="1920" w:type="dxa"/>
            <w:shd w:val="clear" w:color="auto" w:fill="auto"/>
            <w:noWrap/>
            <w:vAlign w:val="bottom"/>
            <w:hideMark/>
          </w:tcPr>
          <w:p w14:paraId="1B3EB0D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47 (3.6%)</w:t>
            </w:r>
          </w:p>
        </w:tc>
        <w:tc>
          <w:tcPr>
            <w:tcW w:w="3793" w:type="dxa"/>
            <w:gridSpan w:val="2"/>
            <w:shd w:val="clear" w:color="auto" w:fill="auto"/>
            <w:noWrap/>
            <w:vAlign w:val="bottom"/>
            <w:hideMark/>
          </w:tcPr>
          <w:p w14:paraId="4F133AD1"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153 (11.8%)</w:t>
            </w:r>
          </w:p>
        </w:tc>
      </w:tr>
      <w:tr w:rsidR="005054B9" w:rsidRPr="005054B9" w14:paraId="1B884DDB" w14:textId="77777777" w:rsidTr="005912CC">
        <w:trPr>
          <w:trHeight w:val="285"/>
        </w:trPr>
        <w:tc>
          <w:tcPr>
            <w:tcW w:w="3899" w:type="dxa"/>
            <w:shd w:val="clear" w:color="auto" w:fill="auto"/>
            <w:noWrap/>
            <w:vAlign w:val="bottom"/>
            <w:hideMark/>
          </w:tcPr>
          <w:p w14:paraId="1482B0E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Technician</w:t>
            </w:r>
          </w:p>
        </w:tc>
        <w:tc>
          <w:tcPr>
            <w:tcW w:w="1920" w:type="dxa"/>
            <w:shd w:val="clear" w:color="auto" w:fill="auto"/>
            <w:noWrap/>
            <w:vAlign w:val="bottom"/>
            <w:hideMark/>
          </w:tcPr>
          <w:p w14:paraId="74C91F3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 (0.1%)</w:t>
            </w:r>
          </w:p>
        </w:tc>
        <w:tc>
          <w:tcPr>
            <w:tcW w:w="2116" w:type="dxa"/>
            <w:shd w:val="clear" w:color="auto" w:fill="auto"/>
            <w:noWrap/>
            <w:vAlign w:val="bottom"/>
            <w:hideMark/>
          </w:tcPr>
          <w:p w14:paraId="62BFCC5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 (0.9%)</w:t>
            </w:r>
          </w:p>
        </w:tc>
        <w:tc>
          <w:tcPr>
            <w:tcW w:w="1677" w:type="dxa"/>
            <w:shd w:val="clear" w:color="auto" w:fill="auto"/>
            <w:noWrap/>
            <w:vAlign w:val="bottom"/>
            <w:hideMark/>
          </w:tcPr>
          <w:p w14:paraId="730ED82E"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4C99D70C" w14:textId="77777777" w:rsidTr="005054B9">
        <w:trPr>
          <w:trHeight w:val="285"/>
        </w:trPr>
        <w:tc>
          <w:tcPr>
            <w:tcW w:w="3899" w:type="dxa"/>
            <w:shd w:val="clear" w:color="auto" w:fill="auto"/>
            <w:noWrap/>
            <w:vAlign w:val="bottom"/>
            <w:hideMark/>
          </w:tcPr>
          <w:p w14:paraId="571F88D3"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Trading</w:t>
            </w:r>
          </w:p>
        </w:tc>
        <w:tc>
          <w:tcPr>
            <w:tcW w:w="1920" w:type="dxa"/>
            <w:shd w:val="clear" w:color="auto" w:fill="auto"/>
            <w:noWrap/>
            <w:vAlign w:val="bottom"/>
            <w:hideMark/>
          </w:tcPr>
          <w:p w14:paraId="6FD0DE51"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171 (13.1%)</w:t>
            </w:r>
          </w:p>
        </w:tc>
        <w:tc>
          <w:tcPr>
            <w:tcW w:w="3793" w:type="dxa"/>
            <w:gridSpan w:val="2"/>
            <w:shd w:val="clear" w:color="auto" w:fill="auto"/>
            <w:noWrap/>
            <w:vAlign w:val="bottom"/>
            <w:hideMark/>
          </w:tcPr>
          <w:p w14:paraId="3AEDB732"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684 (52.5%)</w:t>
            </w:r>
          </w:p>
        </w:tc>
      </w:tr>
    </w:tbl>
    <w:p w14:paraId="1FCA33D8" w14:textId="7EF7F489"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In examining the profile of children eligible for Vitamin A Supplementation (VAS), the analysis revealed notable patterns associated with child and caregiver characteristics. Among children aged 6–59 months, uptake of VAS was significantly higher among those aged 12–59 months (40.2%) compared to those aged 6–11 months (38.8%), with a highly significant difference (p &lt; 0.001). This disparity suggests that older children were more likely to be reached by supplementation campaigns, possibly due to caregiver preferences, child mobility, or service delivery prioritization.</w:t>
      </w:r>
    </w:p>
    <w:p w14:paraId="2B33A6BC" w14:textId="77777777"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Gender of the child did not significantly influence the likelihood of receiving VAS, with similar uptake observed among females (41.3%) and males (43.4%) (p = 0.8502). This indicates gender equity in the delivery of the intervention and suggests that program implementers were successful in reaching both male and female children without systematic bias.</w:t>
      </w:r>
    </w:p>
    <w:p w14:paraId="779035C9" w14:textId="77777777"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In contrast, caregiver characteristics were more strongly associated with VAS uptake. Children with female caregivers were significantly more likely to have received Vitamin A (80.7%) compared to those with male caregivers (4.0%) (p = 0.0022). This finding aligns with broader evidence indicating that female caregivers often play a central role in accessing preventive child health services. Similarly, marital status of the caregiver was a significant factor (p = 0.0182), with married caregivers accounting for the vast majority of VAS uptake (83.7%). This may reflect greater household stability and support systems that facilitate healthcare utilization.</w:t>
      </w:r>
    </w:p>
    <w:p w14:paraId="726C68C3" w14:textId="77777777"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 xml:space="preserve">Religious affiliation also showed a statistically significant association with VAS uptake (p = 0.0179). </w:t>
      </w:r>
      <w:proofErr w:type="gramStart"/>
      <w:r w:rsidRPr="005912CC">
        <w:rPr>
          <w:rFonts w:ascii="Garamond" w:hAnsi="Garamond"/>
          <w:lang w:val="en-GB"/>
        </w:rPr>
        <w:t>The majority of</w:t>
      </w:r>
      <w:proofErr w:type="gramEnd"/>
      <w:r w:rsidRPr="005912CC">
        <w:rPr>
          <w:rFonts w:ascii="Garamond" w:hAnsi="Garamond"/>
          <w:lang w:val="en-GB"/>
        </w:rPr>
        <w:t xml:space="preserve"> children who received Vitamin A came from Muslim households (78.7%), a pattern that likely mirrors the demographic composition of Bauchi State but may also reflect variations in geographic coverage, cultural engagement, or </w:t>
      </w:r>
      <w:proofErr w:type="gramStart"/>
      <w:r w:rsidRPr="005912CC">
        <w:rPr>
          <w:rFonts w:ascii="Garamond" w:hAnsi="Garamond"/>
          <w:lang w:val="en-GB"/>
        </w:rPr>
        <w:t>religiously-affiliated</w:t>
      </w:r>
      <w:proofErr w:type="gramEnd"/>
      <w:r w:rsidRPr="005912CC">
        <w:rPr>
          <w:rFonts w:ascii="Garamond" w:hAnsi="Garamond"/>
          <w:lang w:val="en-GB"/>
        </w:rPr>
        <w:t xml:space="preserve"> health outreach mechanisms.</w:t>
      </w:r>
    </w:p>
    <w:p w14:paraId="43FBEDB6" w14:textId="77777777"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 xml:space="preserve">Although caregiver education status (yes/no) did not show a significant association with Vitamin A uptake (p = 0.8777), more detailed analysis of educational attainment levels revealed important differences (p &lt; 0.001). Caregivers with primary (39.8%) and secondary (32.5%) education exhibited the highest rates of uptake. This suggests that moderate levels of formal education may correlate </w:t>
      </w:r>
      <w:r w:rsidRPr="005912CC">
        <w:rPr>
          <w:rFonts w:ascii="Garamond" w:hAnsi="Garamond"/>
          <w:lang w:val="en-GB"/>
        </w:rPr>
        <w:lastRenderedPageBreak/>
        <w:t xml:space="preserve">with improved awareness of health interventions and stronger health-seeking </w:t>
      </w:r>
      <w:proofErr w:type="spellStart"/>
      <w:r w:rsidRPr="005912CC">
        <w:rPr>
          <w:rFonts w:ascii="Garamond" w:hAnsi="Garamond"/>
          <w:lang w:val="en-GB"/>
        </w:rPr>
        <w:t>behavior</w:t>
      </w:r>
      <w:proofErr w:type="spellEnd"/>
      <w:r w:rsidRPr="005912CC">
        <w:rPr>
          <w:rFonts w:ascii="Garamond" w:hAnsi="Garamond"/>
          <w:lang w:val="en-GB"/>
        </w:rPr>
        <w:t>, whereas the benefits may taper off or be offset by other factors at higher education levels.</w:t>
      </w:r>
    </w:p>
    <w:p w14:paraId="32DB361C" w14:textId="77777777"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 xml:space="preserve">Employment status and occupation of caregivers further shaped VAS uptake. Children of unemployed caregivers accounted for the highest proportion of supplementation (46.9%), followed by those of self-employed caregivers (32.9%) and formally employed caregivers (4.7%) (p &lt; 0.001). This could reflect differences in availability during campaign periods or differential access to health information. </w:t>
      </w:r>
      <w:proofErr w:type="gramStart"/>
      <w:r w:rsidRPr="005912CC">
        <w:rPr>
          <w:rFonts w:ascii="Garamond" w:hAnsi="Garamond"/>
          <w:lang w:val="en-GB"/>
        </w:rPr>
        <w:t>With regard to</w:t>
      </w:r>
      <w:proofErr w:type="gramEnd"/>
      <w:r w:rsidRPr="005912CC">
        <w:rPr>
          <w:rFonts w:ascii="Garamond" w:hAnsi="Garamond"/>
          <w:lang w:val="en-GB"/>
        </w:rPr>
        <w:t xml:space="preserve"> occupation, traders and farmers were the most represented among caregivers of children who received VAS, at 52.5% and 10.2% respectively (p = 0.0057). Occupations involving regular market interaction may expose caregivers to health communication and outreach services more frequently.</w:t>
      </w:r>
    </w:p>
    <w:p w14:paraId="1EB7A598" w14:textId="0014DD1C" w:rsidR="005912CC" w:rsidRDefault="005912CC" w:rsidP="005912CC">
      <w:pPr>
        <w:pStyle w:val="BodyText"/>
        <w:spacing w:line="360" w:lineRule="auto"/>
        <w:jc w:val="both"/>
        <w:rPr>
          <w:rFonts w:ascii="Garamond" w:hAnsi="Garamond"/>
          <w:lang w:val="en-GB"/>
        </w:rPr>
      </w:pPr>
      <w:r w:rsidRPr="005912CC">
        <w:rPr>
          <w:rFonts w:ascii="Garamond" w:hAnsi="Garamond"/>
          <w:lang w:val="en-GB"/>
        </w:rPr>
        <w:t>Taken together, these findings underscore the importance of understanding both child-level and caregiver-level determinants of health service uptake. They also highlight critical entry points for tailoring future health campaigns</w:t>
      </w:r>
      <w:r w:rsidR="00086D7F">
        <w:rPr>
          <w:rFonts w:ascii="Garamond" w:hAnsi="Garamond"/>
          <w:lang w:val="en-GB"/>
        </w:rPr>
        <w:t xml:space="preserve">, </w:t>
      </w:r>
      <w:r w:rsidRPr="005912CC">
        <w:rPr>
          <w:rFonts w:ascii="Garamond" w:hAnsi="Garamond"/>
          <w:lang w:val="en-GB"/>
        </w:rPr>
        <w:t>particularly around caregiver engagement, age targeting, and equitable delivery mechanisms</w:t>
      </w:r>
      <w:r w:rsidR="00086D7F">
        <w:rPr>
          <w:rFonts w:ascii="Garamond" w:hAnsi="Garamond"/>
          <w:lang w:val="en-GB"/>
        </w:rPr>
        <w:t xml:space="preserve">, </w:t>
      </w:r>
      <w:r w:rsidRPr="005912CC">
        <w:rPr>
          <w:rFonts w:ascii="Garamond" w:hAnsi="Garamond"/>
          <w:lang w:val="en-GB"/>
        </w:rPr>
        <w:t>to enhance the coverage and impact of integrated child health interventions such as VAS and SMC.</w:t>
      </w:r>
    </w:p>
    <w:p w14:paraId="3E94DF04" w14:textId="093F65E5" w:rsidR="007D1668" w:rsidRPr="005871E7" w:rsidRDefault="007D1668" w:rsidP="007D1668">
      <w:pPr>
        <w:pStyle w:val="Heading2"/>
        <w:rPr>
          <w:rFonts w:ascii="Garamond" w:hAnsi="Garamond"/>
        </w:rPr>
      </w:pPr>
      <w:bookmarkStart w:id="21" w:name="age-distribution-of-key-respondents"/>
      <w:bookmarkStart w:id="22" w:name="_Toc201650796"/>
      <w:r>
        <w:rPr>
          <w:rFonts w:ascii="Garamond" w:hAnsi="Garamond"/>
        </w:rPr>
        <w:t>5.2</w:t>
      </w:r>
      <w:r w:rsidRPr="005871E7">
        <w:rPr>
          <w:rFonts w:ascii="Garamond" w:hAnsi="Garamond"/>
        </w:rPr>
        <w:t xml:space="preserve">. </w:t>
      </w:r>
      <w:r w:rsidR="00AC1D45" w:rsidRPr="00AC1D45">
        <w:rPr>
          <w:rFonts w:ascii="Garamond" w:hAnsi="Garamond"/>
        </w:rPr>
        <w:t>Household Structure</w:t>
      </w:r>
      <w:bookmarkEnd w:id="22"/>
    </w:p>
    <w:p w14:paraId="703C6FC5"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The mean age of selected women of childbearing age (WCBA) was 27.7 years, with the age range spanning from 15 to 49 years. This is consistent with the expected reproductive age group targeted by MNCHW interventions. The mean age of household heads was 41.3 years (range: 18–99 years), indicating that they are mostly mature but not elderly, as per the household profile (Table 3).</w:t>
      </w:r>
    </w:p>
    <w:p w14:paraId="5998D82B" w14:textId="77777777" w:rsidR="007D1668" w:rsidRPr="005871E7" w:rsidRDefault="007D1668" w:rsidP="007D1668">
      <w:pPr>
        <w:pStyle w:val="BodyText"/>
        <w:spacing w:line="360" w:lineRule="auto"/>
        <w:jc w:val="both"/>
        <w:rPr>
          <w:rFonts w:ascii="Garamond" w:hAnsi="Garamond"/>
        </w:rPr>
      </w:pPr>
      <w:r w:rsidRPr="005871E7">
        <w:rPr>
          <w:rFonts w:ascii="Garamond" w:hAnsi="Garamond"/>
          <w:b/>
          <w:bCs/>
        </w:rPr>
        <w:t>Table 3: Age Distribution of Selected Women and Household Heads</w:t>
      </w:r>
    </w:p>
    <w:tbl>
      <w:tblPr>
        <w:tblStyle w:val="Table"/>
        <w:tblW w:w="0" w:type="auto"/>
        <w:tblLook w:val="0020" w:firstRow="1" w:lastRow="0" w:firstColumn="0" w:lastColumn="0" w:noHBand="0" w:noVBand="0"/>
      </w:tblPr>
      <w:tblGrid>
        <w:gridCol w:w="1806"/>
        <w:gridCol w:w="1831"/>
        <w:gridCol w:w="594"/>
        <w:gridCol w:w="624"/>
      </w:tblGrid>
      <w:tr w:rsidR="007D1668" w:rsidRPr="005871E7" w14:paraId="2D620F81"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7A9D05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Group</w:t>
            </w:r>
          </w:p>
        </w:tc>
        <w:tc>
          <w:tcPr>
            <w:tcW w:w="0" w:type="auto"/>
          </w:tcPr>
          <w:p w14:paraId="28AAC14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Mean Age (years)</w:t>
            </w:r>
          </w:p>
        </w:tc>
        <w:tc>
          <w:tcPr>
            <w:tcW w:w="0" w:type="auto"/>
          </w:tcPr>
          <w:p w14:paraId="39C647B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Min</w:t>
            </w:r>
          </w:p>
        </w:tc>
        <w:tc>
          <w:tcPr>
            <w:tcW w:w="0" w:type="auto"/>
          </w:tcPr>
          <w:p w14:paraId="06BA1FC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Max</w:t>
            </w:r>
          </w:p>
        </w:tc>
      </w:tr>
      <w:tr w:rsidR="007D1668" w:rsidRPr="005871E7" w14:paraId="24503724" w14:textId="77777777" w:rsidTr="002C3392">
        <w:tc>
          <w:tcPr>
            <w:tcW w:w="0" w:type="auto"/>
          </w:tcPr>
          <w:p w14:paraId="25F9852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Selected WCBA</w:t>
            </w:r>
          </w:p>
        </w:tc>
        <w:tc>
          <w:tcPr>
            <w:tcW w:w="0" w:type="auto"/>
          </w:tcPr>
          <w:p w14:paraId="7076195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27.7</w:t>
            </w:r>
          </w:p>
        </w:tc>
        <w:tc>
          <w:tcPr>
            <w:tcW w:w="0" w:type="auto"/>
          </w:tcPr>
          <w:p w14:paraId="7DB6CED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15</w:t>
            </w:r>
          </w:p>
        </w:tc>
        <w:tc>
          <w:tcPr>
            <w:tcW w:w="0" w:type="auto"/>
          </w:tcPr>
          <w:p w14:paraId="692AA6D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49</w:t>
            </w:r>
          </w:p>
        </w:tc>
      </w:tr>
      <w:tr w:rsidR="007D1668" w:rsidRPr="005871E7" w14:paraId="29081B6B" w14:textId="77777777" w:rsidTr="002C3392">
        <w:tc>
          <w:tcPr>
            <w:tcW w:w="0" w:type="auto"/>
          </w:tcPr>
          <w:p w14:paraId="3460252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Household Head</w:t>
            </w:r>
          </w:p>
        </w:tc>
        <w:tc>
          <w:tcPr>
            <w:tcW w:w="0" w:type="auto"/>
          </w:tcPr>
          <w:p w14:paraId="677E81D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41.3</w:t>
            </w:r>
          </w:p>
        </w:tc>
        <w:tc>
          <w:tcPr>
            <w:tcW w:w="0" w:type="auto"/>
          </w:tcPr>
          <w:p w14:paraId="7B48F1A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18</w:t>
            </w:r>
          </w:p>
        </w:tc>
        <w:tc>
          <w:tcPr>
            <w:tcW w:w="0" w:type="auto"/>
          </w:tcPr>
          <w:p w14:paraId="386C2D0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99</w:t>
            </w:r>
          </w:p>
        </w:tc>
      </w:tr>
    </w:tbl>
    <w:p w14:paraId="3710A25A" w14:textId="56208048" w:rsidR="007D1668" w:rsidRPr="005871E7" w:rsidRDefault="007D1668" w:rsidP="007D1668">
      <w:pPr>
        <w:pStyle w:val="Heading2"/>
        <w:rPr>
          <w:rFonts w:ascii="Garamond" w:hAnsi="Garamond"/>
        </w:rPr>
      </w:pPr>
      <w:bookmarkStart w:id="23" w:name="wealth-index-analysis"/>
      <w:bookmarkStart w:id="24" w:name="_Toc201650797"/>
      <w:bookmarkEnd w:id="21"/>
      <w:r>
        <w:rPr>
          <w:rFonts w:ascii="Garamond" w:hAnsi="Garamond"/>
        </w:rPr>
        <w:lastRenderedPageBreak/>
        <w:t xml:space="preserve">5.3 </w:t>
      </w:r>
      <w:r w:rsidRPr="005871E7">
        <w:rPr>
          <w:rFonts w:ascii="Garamond" w:hAnsi="Garamond"/>
        </w:rPr>
        <w:t>Wealth Index Analysis</w:t>
      </w:r>
      <w:bookmarkEnd w:id="24"/>
    </w:p>
    <w:p w14:paraId="14311F4E" w14:textId="77777777" w:rsidR="007D1668" w:rsidRPr="005871E7" w:rsidRDefault="007D1668" w:rsidP="007D1668">
      <w:pPr>
        <w:pStyle w:val="Heading3"/>
        <w:spacing w:line="360" w:lineRule="auto"/>
        <w:jc w:val="both"/>
        <w:rPr>
          <w:rFonts w:ascii="Garamond" w:hAnsi="Garamond"/>
        </w:rPr>
      </w:pPr>
      <w:bookmarkStart w:id="25" w:name="X981bb857b86d00c69cad0690b69d300dc42e63a"/>
      <w:r w:rsidRPr="005871E7">
        <w:rPr>
          <w:rFonts w:ascii="Garamond" w:hAnsi="Garamond"/>
        </w:rPr>
        <w:t>VAS, Deworming, MUAC, and Immunization Coverage by Wealth Quintile</w:t>
      </w:r>
    </w:p>
    <w:p w14:paraId="3B8AA730"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 xml:space="preserve">The tables below summarize the coverage rates for VAS, Deworming, MUAC (Mid-Upper Arm Circumference) screening, and Immunization among children, stratified by household wealth quintile. Each cell displays the percentage and </w:t>
      </w:r>
      <w:proofErr w:type="gramStart"/>
      <w:r w:rsidRPr="005871E7">
        <w:rPr>
          <w:rFonts w:ascii="Garamond" w:hAnsi="Garamond"/>
        </w:rPr>
        <w:t>count</w:t>
      </w:r>
      <w:proofErr w:type="gramEnd"/>
      <w:r w:rsidRPr="005871E7">
        <w:rPr>
          <w:rFonts w:ascii="Garamond" w:hAnsi="Garamond"/>
        </w:rPr>
        <w:t xml:space="preserve"> of children who either did or did not receive the respective service.</w:t>
      </w:r>
    </w:p>
    <w:p w14:paraId="513CAA96" w14:textId="77777777" w:rsidR="007D1668" w:rsidRPr="005871E7" w:rsidRDefault="007D1668" w:rsidP="007D1668">
      <w:pPr>
        <w:pStyle w:val="Heading4"/>
        <w:spacing w:line="360" w:lineRule="auto"/>
        <w:jc w:val="both"/>
        <w:rPr>
          <w:rFonts w:ascii="Garamond" w:hAnsi="Garamond"/>
        </w:rPr>
      </w:pPr>
      <w:bookmarkStart w:id="26" w:name="vas"/>
      <w:r w:rsidRPr="005871E7">
        <w:rPr>
          <w:rFonts w:ascii="Garamond" w:hAnsi="Garamond"/>
        </w:rPr>
        <w:t>VAS</w:t>
      </w:r>
    </w:p>
    <w:tbl>
      <w:tblPr>
        <w:tblStyle w:val="Table"/>
        <w:tblW w:w="0" w:type="auto"/>
        <w:tblLook w:val="0020" w:firstRow="1" w:lastRow="0" w:firstColumn="0" w:lastColumn="0" w:noHBand="0" w:noVBand="0"/>
      </w:tblPr>
      <w:tblGrid>
        <w:gridCol w:w="1694"/>
        <w:gridCol w:w="1506"/>
        <w:gridCol w:w="1341"/>
      </w:tblGrid>
      <w:tr w:rsidR="007D1668" w:rsidRPr="005871E7" w14:paraId="6A987219"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1F6927A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Wealth Quintile</w:t>
            </w:r>
          </w:p>
        </w:tc>
        <w:tc>
          <w:tcPr>
            <w:tcW w:w="0" w:type="auto"/>
          </w:tcPr>
          <w:p w14:paraId="20228EA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No (%) (n)</w:t>
            </w:r>
          </w:p>
        </w:tc>
        <w:tc>
          <w:tcPr>
            <w:tcW w:w="0" w:type="auto"/>
          </w:tcPr>
          <w:p w14:paraId="68C8635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Yes (%) (n)</w:t>
            </w:r>
          </w:p>
        </w:tc>
      </w:tr>
      <w:tr w:rsidR="007D1668" w:rsidRPr="005871E7" w14:paraId="5E1B267C" w14:textId="77777777" w:rsidTr="002C3392">
        <w:tc>
          <w:tcPr>
            <w:tcW w:w="0" w:type="auto"/>
          </w:tcPr>
          <w:p w14:paraId="755E135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Poorest</w:t>
            </w:r>
          </w:p>
        </w:tc>
        <w:tc>
          <w:tcPr>
            <w:tcW w:w="0" w:type="auto"/>
          </w:tcPr>
          <w:p w14:paraId="35186D1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68.2% (1,100)</w:t>
            </w:r>
          </w:p>
        </w:tc>
        <w:tc>
          <w:tcPr>
            <w:tcW w:w="0" w:type="auto"/>
          </w:tcPr>
          <w:p w14:paraId="051DAA4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31.8% (513)</w:t>
            </w:r>
          </w:p>
        </w:tc>
      </w:tr>
      <w:tr w:rsidR="007D1668" w:rsidRPr="005871E7" w14:paraId="3E5C6FD5" w14:textId="77777777" w:rsidTr="002C3392">
        <w:tc>
          <w:tcPr>
            <w:tcW w:w="0" w:type="auto"/>
          </w:tcPr>
          <w:p w14:paraId="52A04D1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Poor</w:t>
            </w:r>
          </w:p>
        </w:tc>
        <w:tc>
          <w:tcPr>
            <w:tcW w:w="0" w:type="auto"/>
          </w:tcPr>
          <w:p w14:paraId="6AB98633"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58.8% (949)</w:t>
            </w:r>
          </w:p>
        </w:tc>
        <w:tc>
          <w:tcPr>
            <w:tcW w:w="0" w:type="auto"/>
          </w:tcPr>
          <w:p w14:paraId="6A5E4A7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41.2% (664)</w:t>
            </w:r>
          </w:p>
        </w:tc>
      </w:tr>
      <w:tr w:rsidR="007D1668" w:rsidRPr="005871E7" w14:paraId="359EE029" w14:textId="77777777" w:rsidTr="002C3392">
        <w:tc>
          <w:tcPr>
            <w:tcW w:w="0" w:type="auto"/>
          </w:tcPr>
          <w:p w14:paraId="7B3B10B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Middle</w:t>
            </w:r>
          </w:p>
        </w:tc>
        <w:tc>
          <w:tcPr>
            <w:tcW w:w="0" w:type="auto"/>
          </w:tcPr>
          <w:p w14:paraId="23FD7AF3"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65.5% (1,057)</w:t>
            </w:r>
          </w:p>
        </w:tc>
        <w:tc>
          <w:tcPr>
            <w:tcW w:w="0" w:type="auto"/>
          </w:tcPr>
          <w:p w14:paraId="4E628BE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34.5% (556)</w:t>
            </w:r>
          </w:p>
        </w:tc>
      </w:tr>
      <w:tr w:rsidR="007D1668" w:rsidRPr="005871E7" w14:paraId="04EF6B82" w14:textId="77777777" w:rsidTr="002C3392">
        <w:tc>
          <w:tcPr>
            <w:tcW w:w="0" w:type="auto"/>
          </w:tcPr>
          <w:p w14:paraId="2B0A4F4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Rich</w:t>
            </w:r>
          </w:p>
        </w:tc>
        <w:tc>
          <w:tcPr>
            <w:tcW w:w="0" w:type="auto"/>
          </w:tcPr>
          <w:p w14:paraId="4590FE9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57.8% (933)</w:t>
            </w:r>
          </w:p>
        </w:tc>
        <w:tc>
          <w:tcPr>
            <w:tcW w:w="0" w:type="auto"/>
          </w:tcPr>
          <w:p w14:paraId="6684850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42.2% (680)</w:t>
            </w:r>
          </w:p>
        </w:tc>
      </w:tr>
      <w:tr w:rsidR="007D1668" w:rsidRPr="005871E7" w14:paraId="2868D0AC" w14:textId="77777777" w:rsidTr="002C3392">
        <w:tc>
          <w:tcPr>
            <w:tcW w:w="0" w:type="auto"/>
          </w:tcPr>
          <w:p w14:paraId="6FFBFC2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Richest</w:t>
            </w:r>
          </w:p>
        </w:tc>
        <w:tc>
          <w:tcPr>
            <w:tcW w:w="0" w:type="auto"/>
          </w:tcPr>
          <w:p w14:paraId="3105E253"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53.6% (864)</w:t>
            </w:r>
          </w:p>
        </w:tc>
        <w:tc>
          <w:tcPr>
            <w:tcW w:w="0" w:type="auto"/>
          </w:tcPr>
          <w:p w14:paraId="49C868C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46.4% (748)</w:t>
            </w:r>
          </w:p>
        </w:tc>
      </w:tr>
    </w:tbl>
    <w:p w14:paraId="581A0E4E" w14:textId="77777777" w:rsidR="007D1668" w:rsidRPr="005871E7" w:rsidRDefault="007D1668" w:rsidP="007D1668">
      <w:pPr>
        <w:pStyle w:val="BodyText"/>
        <w:spacing w:line="360" w:lineRule="auto"/>
        <w:jc w:val="both"/>
        <w:rPr>
          <w:rFonts w:ascii="Garamond" w:hAnsi="Garamond"/>
        </w:rPr>
      </w:pPr>
      <w:r w:rsidRPr="005871E7">
        <w:rPr>
          <w:rFonts w:ascii="Garamond" w:hAnsi="Garamond"/>
        </w:rPr>
        <w:t>The table displays the distribution of Vitamin A Supplementation (VAS) coverage across household wealth quintiles. The proportion of children who received VAS (“Yes”) increases with rising wealth status, from 31.8% among the poorest households to 46.4% among the richest. Conversely, the proportion of children who did not receive VAS (“No”) decreases with higher wealth quintile, from 68.2% in the poorest group to 53.6% in the richest.</w:t>
      </w:r>
    </w:p>
    <w:p w14:paraId="7AA3AC89" w14:textId="77777777" w:rsidR="007D1668" w:rsidRPr="005871E7" w:rsidRDefault="007D1668" w:rsidP="007D1668">
      <w:pPr>
        <w:pStyle w:val="BodyText"/>
        <w:spacing w:line="360" w:lineRule="auto"/>
        <w:jc w:val="both"/>
        <w:rPr>
          <w:rFonts w:ascii="Garamond" w:hAnsi="Garamond"/>
        </w:rPr>
      </w:pPr>
      <w:r w:rsidRPr="005871E7">
        <w:rPr>
          <w:rFonts w:ascii="Garamond" w:hAnsi="Garamond"/>
        </w:rPr>
        <w:t>This gradient demonstrates a positive association between household wealth and VAS coverage: children from wealthier households are more likely to receive VAS compared to those from poorer households.</w:t>
      </w:r>
    </w:p>
    <w:p w14:paraId="741EFAAE" w14:textId="77777777" w:rsidR="007D1668" w:rsidRPr="005871E7" w:rsidRDefault="007D1668" w:rsidP="007D1668">
      <w:pPr>
        <w:pStyle w:val="BodyText"/>
        <w:spacing w:line="360" w:lineRule="auto"/>
        <w:jc w:val="both"/>
        <w:rPr>
          <w:rFonts w:ascii="Garamond" w:hAnsi="Garamond"/>
        </w:rPr>
      </w:pPr>
      <w:r w:rsidRPr="005871E7">
        <w:rPr>
          <w:rFonts w:ascii="Garamond" w:hAnsi="Garamond"/>
        </w:rPr>
        <w:t xml:space="preserve">A Pearson’s chi-squared test was conducted to assess the significance of this association. The test produced a chi-squared statistic of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95.8</m:t>
        </m:r>
      </m:oMath>
      <w:r w:rsidRPr="005871E7">
        <w:rPr>
          <w:rFonts w:ascii="Garamond" w:hAnsi="Garamond"/>
        </w:rPr>
        <w:t xml:space="preserve"> with 4 degrees of freedom, and a p-value less than </w:t>
      </w:r>
      <m:oMath>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oMath>
      <w:r w:rsidRPr="005871E7">
        <w:rPr>
          <w:rFonts w:ascii="Garamond" w:hAnsi="Garamond"/>
        </w:rPr>
        <w:t>. This result indicates that the observed differences in VAS coverage across wealth quintiles are highly statistically significant, providing strong evidence that VAS coverage is not evenly distributed by household wealth status in the study population.</w:t>
      </w:r>
    </w:p>
    <w:p w14:paraId="6383C93D" w14:textId="77777777" w:rsidR="007D1668" w:rsidRPr="005871E7" w:rsidRDefault="007D1668" w:rsidP="007D1668">
      <w:pPr>
        <w:pStyle w:val="Heading4"/>
        <w:spacing w:line="360" w:lineRule="auto"/>
        <w:jc w:val="both"/>
        <w:rPr>
          <w:rFonts w:ascii="Garamond" w:hAnsi="Garamond"/>
        </w:rPr>
      </w:pPr>
      <w:bookmarkStart w:id="27" w:name="deworming"/>
      <w:bookmarkEnd w:id="26"/>
      <w:r w:rsidRPr="005871E7">
        <w:rPr>
          <w:rFonts w:ascii="Garamond" w:hAnsi="Garamond"/>
        </w:rPr>
        <w:lastRenderedPageBreak/>
        <w:t>Deworming</w:t>
      </w:r>
    </w:p>
    <w:tbl>
      <w:tblPr>
        <w:tblStyle w:val="Table"/>
        <w:tblW w:w="0" w:type="auto"/>
        <w:tblLook w:val="0020" w:firstRow="1" w:lastRow="0" w:firstColumn="0" w:lastColumn="0" w:noHBand="0" w:noVBand="0"/>
      </w:tblPr>
      <w:tblGrid>
        <w:gridCol w:w="1694"/>
        <w:gridCol w:w="1506"/>
        <w:gridCol w:w="1341"/>
      </w:tblGrid>
      <w:tr w:rsidR="007D1668" w:rsidRPr="005871E7" w14:paraId="09A03DB3"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1CC15E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Wealth Quintile</w:t>
            </w:r>
          </w:p>
        </w:tc>
        <w:tc>
          <w:tcPr>
            <w:tcW w:w="0" w:type="auto"/>
          </w:tcPr>
          <w:p w14:paraId="1D70481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No</w:t>
            </w:r>
          </w:p>
        </w:tc>
        <w:tc>
          <w:tcPr>
            <w:tcW w:w="0" w:type="auto"/>
          </w:tcPr>
          <w:p w14:paraId="778A245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Yes</w:t>
            </w:r>
          </w:p>
        </w:tc>
      </w:tr>
      <w:tr w:rsidR="007D1668" w:rsidRPr="005871E7" w14:paraId="6807A507" w14:textId="77777777" w:rsidTr="002C3392">
        <w:tc>
          <w:tcPr>
            <w:tcW w:w="0" w:type="auto"/>
          </w:tcPr>
          <w:p w14:paraId="636BC2A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Poorest</w:t>
            </w:r>
          </w:p>
        </w:tc>
        <w:tc>
          <w:tcPr>
            <w:tcW w:w="0" w:type="auto"/>
          </w:tcPr>
          <w:p w14:paraId="3818986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75.3% (1,214)</w:t>
            </w:r>
          </w:p>
        </w:tc>
        <w:tc>
          <w:tcPr>
            <w:tcW w:w="0" w:type="auto"/>
          </w:tcPr>
          <w:p w14:paraId="229C7A2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24.7% (399)</w:t>
            </w:r>
          </w:p>
        </w:tc>
      </w:tr>
      <w:tr w:rsidR="007D1668" w:rsidRPr="005871E7" w14:paraId="361B4E61" w14:textId="77777777" w:rsidTr="002C3392">
        <w:tc>
          <w:tcPr>
            <w:tcW w:w="0" w:type="auto"/>
          </w:tcPr>
          <w:p w14:paraId="0852DC7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Poor</w:t>
            </w:r>
          </w:p>
        </w:tc>
        <w:tc>
          <w:tcPr>
            <w:tcW w:w="0" w:type="auto"/>
          </w:tcPr>
          <w:p w14:paraId="6DE1137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61.1% (985)</w:t>
            </w:r>
          </w:p>
        </w:tc>
        <w:tc>
          <w:tcPr>
            <w:tcW w:w="0" w:type="auto"/>
          </w:tcPr>
          <w:p w14:paraId="6EB5236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38.9% (628)</w:t>
            </w:r>
          </w:p>
        </w:tc>
      </w:tr>
      <w:tr w:rsidR="007D1668" w:rsidRPr="005871E7" w14:paraId="764A2CC9" w14:textId="77777777" w:rsidTr="002C3392">
        <w:tc>
          <w:tcPr>
            <w:tcW w:w="0" w:type="auto"/>
          </w:tcPr>
          <w:p w14:paraId="509AA8B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Middle</w:t>
            </w:r>
          </w:p>
        </w:tc>
        <w:tc>
          <w:tcPr>
            <w:tcW w:w="0" w:type="auto"/>
          </w:tcPr>
          <w:p w14:paraId="5848622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72.8% (1,174)</w:t>
            </w:r>
          </w:p>
        </w:tc>
        <w:tc>
          <w:tcPr>
            <w:tcW w:w="0" w:type="auto"/>
          </w:tcPr>
          <w:p w14:paraId="6BE9756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27.2% (439)</w:t>
            </w:r>
          </w:p>
        </w:tc>
      </w:tr>
      <w:tr w:rsidR="007D1668" w:rsidRPr="005871E7" w14:paraId="7D44511A" w14:textId="77777777" w:rsidTr="002C3392">
        <w:tc>
          <w:tcPr>
            <w:tcW w:w="0" w:type="auto"/>
          </w:tcPr>
          <w:p w14:paraId="16A50DB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Rich</w:t>
            </w:r>
          </w:p>
        </w:tc>
        <w:tc>
          <w:tcPr>
            <w:tcW w:w="0" w:type="auto"/>
          </w:tcPr>
          <w:p w14:paraId="550CC2B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64.5% (1,041)</w:t>
            </w:r>
          </w:p>
        </w:tc>
        <w:tc>
          <w:tcPr>
            <w:tcW w:w="0" w:type="auto"/>
          </w:tcPr>
          <w:p w14:paraId="65976D2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35.5% (572)</w:t>
            </w:r>
          </w:p>
        </w:tc>
      </w:tr>
      <w:tr w:rsidR="007D1668" w:rsidRPr="005871E7" w14:paraId="1A712A15" w14:textId="77777777" w:rsidTr="002C3392">
        <w:tc>
          <w:tcPr>
            <w:tcW w:w="0" w:type="auto"/>
          </w:tcPr>
          <w:p w14:paraId="40E8590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Richest</w:t>
            </w:r>
          </w:p>
        </w:tc>
        <w:tc>
          <w:tcPr>
            <w:tcW w:w="0" w:type="auto"/>
          </w:tcPr>
          <w:p w14:paraId="2CABD0F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63.0% (1,015)</w:t>
            </w:r>
          </w:p>
        </w:tc>
        <w:tc>
          <w:tcPr>
            <w:tcW w:w="0" w:type="auto"/>
          </w:tcPr>
          <w:p w14:paraId="567D27E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37.0% (597)</w:t>
            </w:r>
          </w:p>
        </w:tc>
      </w:tr>
    </w:tbl>
    <w:p w14:paraId="02681497" w14:textId="77777777" w:rsidR="007D1668" w:rsidRPr="005871E7" w:rsidRDefault="007D1668" w:rsidP="007D1668">
      <w:pPr>
        <w:pStyle w:val="BodyText"/>
        <w:spacing w:line="360" w:lineRule="auto"/>
        <w:jc w:val="both"/>
        <w:rPr>
          <w:rFonts w:ascii="Garamond" w:hAnsi="Garamond"/>
        </w:rPr>
      </w:pPr>
      <w:r w:rsidRPr="005871E7">
        <w:rPr>
          <w:rFonts w:ascii="Garamond" w:hAnsi="Garamond"/>
        </w:rPr>
        <w:t xml:space="preserve">A clear gradient is observed in Deworming coverage across wealth quintiles. Coverage is lowest among children in the poorest quintile (24.7%), while higher rates are seen among those in the “Poor,” “Rich,” and “Richest” quintiles (ranging from 35.5% to 38.9%). The chi-squared test indicates that these differences are statistically significant </w:t>
      </w:r>
      <m:oMath>
        <m:r>
          <m:rPr>
            <m:sty m:val="p"/>
          </m:rP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116.4</m:t>
        </m:r>
        <m:r>
          <m:rPr>
            <m:sty m:val="p"/>
          </m:rPr>
          <w:rPr>
            <w:rFonts w:ascii="Cambria Math" w:hAnsi="Cambria Math"/>
          </w:rPr>
          <m:t>,</m:t>
        </m:r>
        <m:r>
          <w:rPr>
            <w:rFonts w:ascii="Cambria Math" w:hAnsi="Cambria Math"/>
          </w:rPr>
          <m:t>df</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r>
          <m:rPr>
            <m:sty m:val="p"/>
          </m:rPr>
          <w:rPr>
            <w:rFonts w:ascii="Cambria Math" w:hAnsi="Cambria Math"/>
          </w:rPr>
          <m:t>)</m:t>
        </m:r>
      </m:oMath>
      <w:r w:rsidRPr="005871E7">
        <w:rPr>
          <w:rFonts w:ascii="Garamond" w:hAnsi="Garamond"/>
        </w:rPr>
        <w:t>, suggesting a strong association between household wealth status and Deworming coverage.</w:t>
      </w:r>
    </w:p>
    <w:p w14:paraId="6DEA97BB" w14:textId="77777777" w:rsidR="007D1668" w:rsidRPr="005871E7" w:rsidRDefault="007D1668" w:rsidP="007D1668">
      <w:pPr>
        <w:pStyle w:val="Heading4"/>
        <w:spacing w:line="360" w:lineRule="auto"/>
        <w:jc w:val="both"/>
        <w:rPr>
          <w:rFonts w:ascii="Garamond" w:hAnsi="Garamond"/>
        </w:rPr>
      </w:pPr>
      <w:bookmarkStart w:id="28" w:name="muac"/>
      <w:bookmarkEnd w:id="27"/>
      <w:r w:rsidRPr="005871E7">
        <w:rPr>
          <w:rFonts w:ascii="Garamond" w:hAnsi="Garamond"/>
        </w:rPr>
        <w:t>MUAC</w:t>
      </w:r>
    </w:p>
    <w:tbl>
      <w:tblPr>
        <w:tblStyle w:val="Table"/>
        <w:tblW w:w="0" w:type="auto"/>
        <w:tblLook w:val="0020" w:firstRow="1" w:lastRow="0" w:firstColumn="0" w:lastColumn="0" w:noHBand="0" w:noVBand="0"/>
      </w:tblPr>
      <w:tblGrid>
        <w:gridCol w:w="1694"/>
        <w:gridCol w:w="1506"/>
        <w:gridCol w:w="1341"/>
      </w:tblGrid>
      <w:tr w:rsidR="007D1668" w:rsidRPr="005871E7" w14:paraId="64F58A76"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BCBC79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Wealth Quintile</w:t>
            </w:r>
          </w:p>
        </w:tc>
        <w:tc>
          <w:tcPr>
            <w:tcW w:w="0" w:type="auto"/>
          </w:tcPr>
          <w:p w14:paraId="33B4B09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No</w:t>
            </w:r>
          </w:p>
        </w:tc>
        <w:tc>
          <w:tcPr>
            <w:tcW w:w="0" w:type="auto"/>
          </w:tcPr>
          <w:p w14:paraId="35E673C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Yes</w:t>
            </w:r>
          </w:p>
        </w:tc>
      </w:tr>
      <w:tr w:rsidR="007D1668" w:rsidRPr="005871E7" w14:paraId="11B94B13" w14:textId="77777777" w:rsidTr="002C3392">
        <w:tc>
          <w:tcPr>
            <w:tcW w:w="0" w:type="auto"/>
          </w:tcPr>
          <w:p w14:paraId="3ACDCEE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Poorest</w:t>
            </w:r>
          </w:p>
        </w:tc>
        <w:tc>
          <w:tcPr>
            <w:tcW w:w="0" w:type="auto"/>
          </w:tcPr>
          <w:p w14:paraId="048714F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85.7% (1,383)</w:t>
            </w:r>
          </w:p>
        </w:tc>
        <w:tc>
          <w:tcPr>
            <w:tcW w:w="0" w:type="auto"/>
          </w:tcPr>
          <w:p w14:paraId="4D3BFF2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14.3% (230)</w:t>
            </w:r>
          </w:p>
        </w:tc>
      </w:tr>
      <w:tr w:rsidR="007D1668" w:rsidRPr="005871E7" w14:paraId="1A904B1D" w14:textId="77777777" w:rsidTr="002C3392">
        <w:tc>
          <w:tcPr>
            <w:tcW w:w="0" w:type="auto"/>
          </w:tcPr>
          <w:p w14:paraId="0C81D6B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Poor</w:t>
            </w:r>
          </w:p>
        </w:tc>
        <w:tc>
          <w:tcPr>
            <w:tcW w:w="0" w:type="auto"/>
          </w:tcPr>
          <w:p w14:paraId="6C16266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71.0% (1,146)</w:t>
            </w:r>
          </w:p>
        </w:tc>
        <w:tc>
          <w:tcPr>
            <w:tcW w:w="0" w:type="auto"/>
          </w:tcPr>
          <w:p w14:paraId="28CB4E8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29.0% (467)</w:t>
            </w:r>
          </w:p>
        </w:tc>
      </w:tr>
      <w:tr w:rsidR="007D1668" w:rsidRPr="005871E7" w14:paraId="6E17CAC0" w14:textId="77777777" w:rsidTr="002C3392">
        <w:tc>
          <w:tcPr>
            <w:tcW w:w="0" w:type="auto"/>
          </w:tcPr>
          <w:p w14:paraId="2C9E689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Middle</w:t>
            </w:r>
          </w:p>
        </w:tc>
        <w:tc>
          <w:tcPr>
            <w:tcW w:w="0" w:type="auto"/>
          </w:tcPr>
          <w:p w14:paraId="541FF0A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82.5% (1,331)</w:t>
            </w:r>
          </w:p>
        </w:tc>
        <w:tc>
          <w:tcPr>
            <w:tcW w:w="0" w:type="auto"/>
          </w:tcPr>
          <w:p w14:paraId="68610C0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17.5% (282)</w:t>
            </w:r>
          </w:p>
        </w:tc>
      </w:tr>
      <w:tr w:rsidR="007D1668" w:rsidRPr="005871E7" w14:paraId="064EE610" w14:textId="77777777" w:rsidTr="002C3392">
        <w:tc>
          <w:tcPr>
            <w:tcW w:w="0" w:type="auto"/>
          </w:tcPr>
          <w:p w14:paraId="21CA0FE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Rich</w:t>
            </w:r>
          </w:p>
        </w:tc>
        <w:tc>
          <w:tcPr>
            <w:tcW w:w="0" w:type="auto"/>
          </w:tcPr>
          <w:p w14:paraId="5FD0D6F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74.7% (1,205)</w:t>
            </w:r>
          </w:p>
        </w:tc>
        <w:tc>
          <w:tcPr>
            <w:tcW w:w="0" w:type="auto"/>
          </w:tcPr>
          <w:p w14:paraId="69D4084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25.3% (408)</w:t>
            </w:r>
          </w:p>
        </w:tc>
      </w:tr>
      <w:tr w:rsidR="007D1668" w:rsidRPr="005871E7" w14:paraId="675B6C90" w14:textId="77777777" w:rsidTr="002C3392">
        <w:tc>
          <w:tcPr>
            <w:tcW w:w="0" w:type="auto"/>
          </w:tcPr>
          <w:p w14:paraId="1BDCABD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Richest</w:t>
            </w:r>
          </w:p>
        </w:tc>
        <w:tc>
          <w:tcPr>
            <w:tcW w:w="0" w:type="auto"/>
          </w:tcPr>
          <w:p w14:paraId="7BB9EBA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72.5% (1,169)</w:t>
            </w:r>
          </w:p>
        </w:tc>
        <w:tc>
          <w:tcPr>
            <w:tcW w:w="0" w:type="auto"/>
          </w:tcPr>
          <w:p w14:paraId="2692C34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27.5% (443)</w:t>
            </w:r>
          </w:p>
        </w:tc>
      </w:tr>
    </w:tbl>
    <w:p w14:paraId="3960B95D" w14:textId="77777777" w:rsidR="007D1668" w:rsidRPr="005871E7" w:rsidRDefault="007D1668" w:rsidP="007D1668">
      <w:pPr>
        <w:pStyle w:val="BodyText"/>
        <w:spacing w:line="360" w:lineRule="auto"/>
        <w:jc w:val="both"/>
        <w:rPr>
          <w:rFonts w:ascii="Garamond" w:hAnsi="Garamond"/>
        </w:rPr>
      </w:pPr>
      <w:r w:rsidRPr="005871E7">
        <w:rPr>
          <w:rFonts w:ascii="Garamond" w:hAnsi="Garamond"/>
        </w:rPr>
        <w:t xml:space="preserve">MUAC screening coverage is notably low in all quintiles, with the poorest quintile </w:t>
      </w:r>
      <w:proofErr w:type="gramStart"/>
      <w:r w:rsidRPr="005871E7">
        <w:rPr>
          <w:rFonts w:ascii="Garamond" w:hAnsi="Garamond"/>
        </w:rPr>
        <w:t>recording</w:t>
      </w:r>
      <w:proofErr w:type="gramEnd"/>
      <w:r w:rsidRPr="005871E7">
        <w:rPr>
          <w:rFonts w:ascii="Garamond" w:hAnsi="Garamond"/>
        </w:rPr>
        <w:t xml:space="preserve"> the lowest coverage (14.3%). Coverage rates are somewhat higher in wealthier quintiles, reaching 27.5% in the richest group. The chi-squared test again demonstrates a significant difference in MUAC coverage across wealth quintiles </w:t>
      </w:r>
      <m:oMath>
        <m:r>
          <m:rPr>
            <m:sty m:val="p"/>
          </m:rP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95.8</m:t>
        </m:r>
        <m:r>
          <m:rPr>
            <m:sty m:val="p"/>
          </m:rPr>
          <w:rPr>
            <w:rFonts w:ascii="Cambria Math" w:hAnsi="Cambria Math"/>
          </w:rPr>
          <m:t>,</m:t>
        </m:r>
        <m:r>
          <w:rPr>
            <w:rFonts w:ascii="Cambria Math" w:hAnsi="Cambria Math"/>
          </w:rPr>
          <m:t>df</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r>
          <m:rPr>
            <m:sty m:val="p"/>
          </m:rPr>
          <w:rPr>
            <w:rFonts w:ascii="Cambria Math" w:hAnsi="Cambria Math"/>
          </w:rPr>
          <m:t>)</m:t>
        </m:r>
      </m:oMath>
      <w:r w:rsidRPr="005871E7">
        <w:rPr>
          <w:rFonts w:ascii="Garamond" w:hAnsi="Garamond"/>
        </w:rPr>
        <w:t>, indicating a meaningful association between household wealth and access to MUAC screening.</w:t>
      </w:r>
    </w:p>
    <w:p w14:paraId="4EB3F196" w14:textId="77777777" w:rsidR="007D1668" w:rsidRPr="005871E7" w:rsidRDefault="007D1668" w:rsidP="007D1668">
      <w:pPr>
        <w:pStyle w:val="Heading4"/>
        <w:spacing w:line="360" w:lineRule="auto"/>
        <w:jc w:val="both"/>
        <w:rPr>
          <w:rFonts w:ascii="Garamond" w:hAnsi="Garamond"/>
        </w:rPr>
      </w:pPr>
      <w:bookmarkStart w:id="29" w:name="immunization"/>
      <w:bookmarkEnd w:id="28"/>
      <w:r w:rsidRPr="005871E7">
        <w:rPr>
          <w:rFonts w:ascii="Garamond" w:hAnsi="Garamond"/>
        </w:rPr>
        <w:t>Immunization</w:t>
      </w:r>
    </w:p>
    <w:tbl>
      <w:tblPr>
        <w:tblStyle w:val="Table"/>
        <w:tblW w:w="0" w:type="auto"/>
        <w:tblLook w:val="0020" w:firstRow="1" w:lastRow="0" w:firstColumn="0" w:lastColumn="0" w:noHBand="0" w:noVBand="0"/>
      </w:tblPr>
      <w:tblGrid>
        <w:gridCol w:w="1694"/>
        <w:gridCol w:w="1116"/>
        <w:gridCol w:w="1229"/>
        <w:gridCol w:w="1506"/>
      </w:tblGrid>
      <w:tr w:rsidR="007D1668" w:rsidRPr="005871E7" w14:paraId="643AB568"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6847E84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Wealth Quintile</w:t>
            </w:r>
          </w:p>
        </w:tc>
        <w:tc>
          <w:tcPr>
            <w:tcW w:w="0" w:type="auto"/>
          </w:tcPr>
          <w:p w14:paraId="29A79F8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No</w:t>
            </w:r>
          </w:p>
        </w:tc>
        <w:tc>
          <w:tcPr>
            <w:tcW w:w="0" w:type="auto"/>
          </w:tcPr>
          <w:p w14:paraId="1E9FB17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Yes</w:t>
            </w:r>
          </w:p>
        </w:tc>
        <w:tc>
          <w:tcPr>
            <w:tcW w:w="0" w:type="auto"/>
          </w:tcPr>
          <w:p w14:paraId="6F672D1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NA</w:t>
            </w:r>
          </w:p>
        </w:tc>
      </w:tr>
      <w:tr w:rsidR="007D1668" w:rsidRPr="005871E7" w14:paraId="69421B64" w14:textId="77777777" w:rsidTr="002C3392">
        <w:tc>
          <w:tcPr>
            <w:tcW w:w="0" w:type="auto"/>
          </w:tcPr>
          <w:p w14:paraId="3B4E4AF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Poorest</w:t>
            </w:r>
          </w:p>
        </w:tc>
        <w:tc>
          <w:tcPr>
            <w:tcW w:w="0" w:type="auto"/>
          </w:tcPr>
          <w:p w14:paraId="459FE7E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2.0% (32)</w:t>
            </w:r>
          </w:p>
        </w:tc>
        <w:tc>
          <w:tcPr>
            <w:tcW w:w="0" w:type="auto"/>
          </w:tcPr>
          <w:p w14:paraId="2290B63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2.7% (44)</w:t>
            </w:r>
          </w:p>
        </w:tc>
        <w:tc>
          <w:tcPr>
            <w:tcW w:w="0" w:type="auto"/>
          </w:tcPr>
          <w:p w14:paraId="24ABAE1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95.3% (1,537)</w:t>
            </w:r>
          </w:p>
        </w:tc>
      </w:tr>
      <w:tr w:rsidR="007D1668" w:rsidRPr="005871E7" w14:paraId="5378A1A8" w14:textId="77777777" w:rsidTr="002C3392">
        <w:tc>
          <w:tcPr>
            <w:tcW w:w="0" w:type="auto"/>
          </w:tcPr>
          <w:p w14:paraId="2821BB4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lastRenderedPageBreak/>
              <w:t>Poor</w:t>
            </w:r>
          </w:p>
        </w:tc>
        <w:tc>
          <w:tcPr>
            <w:tcW w:w="0" w:type="auto"/>
          </w:tcPr>
          <w:p w14:paraId="311A2E2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2.5% (40)</w:t>
            </w:r>
          </w:p>
        </w:tc>
        <w:tc>
          <w:tcPr>
            <w:tcW w:w="0" w:type="auto"/>
          </w:tcPr>
          <w:p w14:paraId="5469006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8.4% (135)</w:t>
            </w:r>
          </w:p>
        </w:tc>
        <w:tc>
          <w:tcPr>
            <w:tcW w:w="0" w:type="auto"/>
          </w:tcPr>
          <w:p w14:paraId="5B40794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89.2% (1,438)</w:t>
            </w:r>
          </w:p>
        </w:tc>
      </w:tr>
      <w:tr w:rsidR="007D1668" w:rsidRPr="005871E7" w14:paraId="1EFF2312" w14:textId="77777777" w:rsidTr="002C3392">
        <w:tc>
          <w:tcPr>
            <w:tcW w:w="0" w:type="auto"/>
          </w:tcPr>
          <w:p w14:paraId="55DE8B3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Middle</w:t>
            </w:r>
          </w:p>
        </w:tc>
        <w:tc>
          <w:tcPr>
            <w:tcW w:w="0" w:type="auto"/>
          </w:tcPr>
          <w:p w14:paraId="558F870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2.7% (44)</w:t>
            </w:r>
          </w:p>
        </w:tc>
        <w:tc>
          <w:tcPr>
            <w:tcW w:w="0" w:type="auto"/>
          </w:tcPr>
          <w:p w14:paraId="7E3B433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4.0% (64)</w:t>
            </w:r>
          </w:p>
        </w:tc>
        <w:tc>
          <w:tcPr>
            <w:tcW w:w="0" w:type="auto"/>
          </w:tcPr>
          <w:p w14:paraId="428FBAD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93.3% (1,505)</w:t>
            </w:r>
          </w:p>
        </w:tc>
      </w:tr>
      <w:tr w:rsidR="007D1668" w:rsidRPr="005871E7" w14:paraId="3DD6ED0B" w14:textId="77777777" w:rsidTr="002C3392">
        <w:tc>
          <w:tcPr>
            <w:tcW w:w="0" w:type="auto"/>
          </w:tcPr>
          <w:p w14:paraId="3CF12B0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Rich</w:t>
            </w:r>
          </w:p>
        </w:tc>
        <w:tc>
          <w:tcPr>
            <w:tcW w:w="0" w:type="auto"/>
          </w:tcPr>
          <w:p w14:paraId="0B0C7BF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3.2% (52)</w:t>
            </w:r>
          </w:p>
        </w:tc>
        <w:tc>
          <w:tcPr>
            <w:tcW w:w="0" w:type="auto"/>
          </w:tcPr>
          <w:p w14:paraId="78FBA29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5.6% (90)</w:t>
            </w:r>
          </w:p>
        </w:tc>
        <w:tc>
          <w:tcPr>
            <w:tcW w:w="0" w:type="auto"/>
          </w:tcPr>
          <w:p w14:paraId="6898829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91.2% (1,471)</w:t>
            </w:r>
          </w:p>
        </w:tc>
      </w:tr>
      <w:tr w:rsidR="007D1668" w:rsidRPr="005871E7" w14:paraId="677AE953" w14:textId="77777777" w:rsidTr="002C3392">
        <w:tc>
          <w:tcPr>
            <w:tcW w:w="0" w:type="auto"/>
          </w:tcPr>
          <w:p w14:paraId="7950811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Richest</w:t>
            </w:r>
          </w:p>
        </w:tc>
        <w:tc>
          <w:tcPr>
            <w:tcW w:w="0" w:type="auto"/>
          </w:tcPr>
          <w:p w14:paraId="2074E46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3.1% (50)</w:t>
            </w:r>
          </w:p>
        </w:tc>
        <w:tc>
          <w:tcPr>
            <w:tcW w:w="0" w:type="auto"/>
          </w:tcPr>
          <w:p w14:paraId="3F6B6BA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6.5% (105)</w:t>
            </w:r>
          </w:p>
        </w:tc>
        <w:tc>
          <w:tcPr>
            <w:tcW w:w="0" w:type="auto"/>
          </w:tcPr>
          <w:p w14:paraId="170CF760"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90.4% (1,457)</w:t>
            </w:r>
          </w:p>
        </w:tc>
      </w:tr>
    </w:tbl>
    <w:p w14:paraId="715611FB" w14:textId="77777777" w:rsidR="007D1668" w:rsidRPr="005871E7" w:rsidRDefault="007D1668" w:rsidP="007D1668">
      <w:pPr>
        <w:pStyle w:val="BodyText"/>
        <w:spacing w:line="360" w:lineRule="auto"/>
        <w:jc w:val="both"/>
        <w:rPr>
          <w:rFonts w:ascii="Garamond" w:hAnsi="Garamond"/>
        </w:rPr>
      </w:pPr>
      <w:r w:rsidRPr="005871E7">
        <w:rPr>
          <w:rFonts w:ascii="Garamond" w:hAnsi="Garamond"/>
        </w:rPr>
        <w:t xml:space="preserve">Immunization coverage appears low across all wealth quintiles, with the “Yes” column ranging from 2.7% in the poorest to 8.4% in the “Poor” quintile, and </w:t>
      </w:r>
      <w:proofErr w:type="gramStart"/>
      <w:r w:rsidRPr="005871E7">
        <w:rPr>
          <w:rFonts w:ascii="Garamond" w:hAnsi="Garamond"/>
        </w:rPr>
        <w:t>the vast majority of</w:t>
      </w:r>
      <w:proofErr w:type="gramEnd"/>
      <w:r w:rsidRPr="005871E7">
        <w:rPr>
          <w:rFonts w:ascii="Garamond" w:hAnsi="Garamond"/>
        </w:rPr>
        <w:t xml:space="preserve"> records falling under “NA.” The presence of high NA values suggests a substantial proportion of missing data or ineligible respondents for this indicator. Despite these limitations, the chi-squared test (using VAS coverage as a proxy in your code) also reveals a statistically significant association between the wealth quintile and reported coverage </w:t>
      </w:r>
      <m:oMath>
        <m:r>
          <m:rPr>
            <m:sty m:val="p"/>
          </m:rP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95.8</m:t>
        </m:r>
        <m:r>
          <m:rPr>
            <m:sty m:val="p"/>
          </m:rPr>
          <w:rPr>
            <w:rFonts w:ascii="Cambria Math" w:hAnsi="Cambria Math"/>
          </w:rPr>
          <m:t>,</m:t>
        </m:r>
        <m:r>
          <w:rPr>
            <w:rFonts w:ascii="Cambria Math" w:hAnsi="Cambria Math"/>
          </w:rPr>
          <m:t> df</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r>
          <m:rPr>
            <m:sty m:val="p"/>
          </m:rPr>
          <w:rPr>
            <w:rFonts w:ascii="Cambria Math" w:hAnsi="Cambria Math"/>
          </w:rPr>
          <m:t>)</m:t>
        </m:r>
      </m:oMath>
      <w:r w:rsidRPr="005871E7">
        <w:rPr>
          <w:rFonts w:ascii="Garamond" w:hAnsi="Garamond"/>
        </w:rPr>
        <w:t xml:space="preserve"> .</w:t>
      </w:r>
    </w:p>
    <w:p w14:paraId="0DFCBB8E" w14:textId="77777777" w:rsidR="007D1668" w:rsidRPr="005871E7" w:rsidRDefault="007D1668" w:rsidP="007D1668">
      <w:pPr>
        <w:pStyle w:val="Heading3"/>
        <w:spacing w:line="360" w:lineRule="auto"/>
        <w:jc w:val="both"/>
        <w:rPr>
          <w:rFonts w:ascii="Garamond" w:hAnsi="Garamond"/>
        </w:rPr>
      </w:pPr>
      <w:bookmarkStart w:id="30" w:name="Xb358d6686aa5b41a08261dcfb6d566d690fbe53"/>
      <w:bookmarkEnd w:id="25"/>
      <w:bookmarkEnd w:id="29"/>
      <w:r w:rsidRPr="005871E7">
        <w:rPr>
          <w:rFonts w:ascii="Garamond" w:hAnsi="Garamond"/>
        </w:rPr>
        <w:t>Coverage of VAS, Deworming, MUAC, and Immunization by Education Level of Household Head</w:t>
      </w:r>
    </w:p>
    <w:p w14:paraId="33B3E352"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The table below summarizes the coverage rates for Vitamin A Supplementation (VAS), Deworming, MUAC screening, and Immunization among children, disaggregated by the highest educational level attained by the household head. Each value represents the proportion of eligible children who received the specified service, with the sample size (</w:t>
      </w:r>
      <w:r w:rsidRPr="005871E7">
        <w:rPr>
          <w:rStyle w:val="VerbatimChar"/>
          <w:rFonts w:ascii="Garamond" w:hAnsi="Garamond"/>
        </w:rPr>
        <w:t>N</w:t>
      </w:r>
      <w:r w:rsidRPr="005871E7">
        <w:rPr>
          <w:rFonts w:ascii="Garamond" w:hAnsi="Garamond"/>
        </w:rPr>
        <w:t>) shown for each education category.</w:t>
      </w:r>
    </w:p>
    <w:p w14:paraId="17248520" w14:textId="77777777" w:rsidR="007D1668" w:rsidRPr="005871E7" w:rsidRDefault="007D1668" w:rsidP="007D1668">
      <w:pPr>
        <w:pStyle w:val="BodyText"/>
        <w:spacing w:line="360" w:lineRule="auto"/>
        <w:jc w:val="both"/>
        <w:rPr>
          <w:rFonts w:ascii="Garamond" w:hAnsi="Garamond"/>
        </w:rPr>
      </w:pPr>
      <w:r w:rsidRPr="005871E7">
        <w:rPr>
          <w:rFonts w:ascii="Garamond" w:hAnsi="Garamond"/>
        </w:rPr>
        <w:t xml:space="preserve">The results indicate that coverage rates for all services tend to be higher among households where the head has some formal education, particularly at </w:t>
      </w:r>
      <w:proofErr w:type="gramStart"/>
      <w:r w:rsidRPr="005871E7">
        <w:rPr>
          <w:rFonts w:ascii="Garamond" w:hAnsi="Garamond"/>
        </w:rPr>
        <w:t>the pre</w:t>
      </w:r>
      <w:proofErr w:type="gramEnd"/>
      <w:r w:rsidRPr="005871E7">
        <w:rPr>
          <w:rFonts w:ascii="Garamond" w:hAnsi="Garamond"/>
        </w:rPr>
        <w:t>-primary/kindergarten and higher education levels. For example, VAS coverage is 51.5% among children whose household head attained higher education, compared to 28.8% among those with no formal education (NA). Similar patterns are observed for Deworming, MUAC, and Immunization. Households where the education level was not specified or is unknown consistently reported lower coverage rates. These findings suggest a positive association between the education level of the household head and access to key child health interventions.</w:t>
      </w:r>
    </w:p>
    <w:p w14:paraId="6F13E946" w14:textId="77777777" w:rsidR="007D1668" w:rsidRPr="005871E7" w:rsidRDefault="007D1668" w:rsidP="007D1668">
      <w:pPr>
        <w:pStyle w:val="BodyText"/>
        <w:spacing w:line="360" w:lineRule="auto"/>
        <w:jc w:val="both"/>
        <w:rPr>
          <w:rFonts w:ascii="Garamond" w:hAnsi="Garamond"/>
        </w:rPr>
      </w:pPr>
      <w:r w:rsidRPr="005871E7">
        <w:rPr>
          <w:rFonts w:ascii="Garamond" w:hAnsi="Garamond"/>
          <w:b/>
          <w:bCs/>
        </w:rPr>
        <w:t>Table: Coverage of Key Child Health Services by Education Level of Household Head</w:t>
      </w:r>
    </w:p>
    <w:tbl>
      <w:tblPr>
        <w:tblStyle w:val="Table"/>
        <w:tblW w:w="5000" w:type="pct"/>
        <w:tblLayout w:type="fixed"/>
        <w:tblLook w:val="0020" w:firstRow="1" w:lastRow="0" w:firstColumn="0" w:lastColumn="0" w:noHBand="0" w:noVBand="0"/>
      </w:tblPr>
      <w:tblGrid>
        <w:gridCol w:w="3624"/>
        <w:gridCol w:w="1035"/>
        <w:gridCol w:w="1423"/>
        <w:gridCol w:w="1035"/>
        <w:gridCol w:w="1812"/>
        <w:gridCol w:w="647"/>
      </w:tblGrid>
      <w:tr w:rsidR="007D1668" w:rsidRPr="005871E7" w14:paraId="6027C183"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2996" w:type="dxa"/>
          </w:tcPr>
          <w:p w14:paraId="69E91BA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Education Level</w:t>
            </w:r>
          </w:p>
        </w:tc>
        <w:tc>
          <w:tcPr>
            <w:tcW w:w="856" w:type="dxa"/>
          </w:tcPr>
          <w:p w14:paraId="2ED71EB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VAS</w:t>
            </w:r>
          </w:p>
        </w:tc>
        <w:tc>
          <w:tcPr>
            <w:tcW w:w="1177" w:type="dxa"/>
          </w:tcPr>
          <w:p w14:paraId="0DC19FF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Deworming</w:t>
            </w:r>
          </w:p>
        </w:tc>
        <w:tc>
          <w:tcPr>
            <w:tcW w:w="856" w:type="dxa"/>
          </w:tcPr>
          <w:p w14:paraId="582329B0"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MUAC</w:t>
            </w:r>
          </w:p>
        </w:tc>
        <w:tc>
          <w:tcPr>
            <w:tcW w:w="1498" w:type="dxa"/>
          </w:tcPr>
          <w:p w14:paraId="5803260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Immunization</w:t>
            </w:r>
          </w:p>
        </w:tc>
        <w:tc>
          <w:tcPr>
            <w:tcW w:w="535" w:type="dxa"/>
          </w:tcPr>
          <w:p w14:paraId="0BD75D6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w:t>
            </w:r>
          </w:p>
        </w:tc>
      </w:tr>
      <w:tr w:rsidR="007D1668" w:rsidRPr="005871E7" w14:paraId="4F00096C" w14:textId="77777777" w:rsidTr="002C3392">
        <w:tc>
          <w:tcPr>
            <w:tcW w:w="2996" w:type="dxa"/>
          </w:tcPr>
          <w:p w14:paraId="7037B12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lastRenderedPageBreak/>
              <w:t>Don’t Know</w:t>
            </w:r>
          </w:p>
        </w:tc>
        <w:tc>
          <w:tcPr>
            <w:tcW w:w="856" w:type="dxa"/>
          </w:tcPr>
          <w:p w14:paraId="23941AF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0.338</w:t>
            </w:r>
          </w:p>
        </w:tc>
        <w:tc>
          <w:tcPr>
            <w:tcW w:w="1177" w:type="dxa"/>
          </w:tcPr>
          <w:p w14:paraId="03DAF12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0.288</w:t>
            </w:r>
          </w:p>
        </w:tc>
        <w:tc>
          <w:tcPr>
            <w:tcW w:w="856" w:type="dxa"/>
          </w:tcPr>
          <w:p w14:paraId="016288A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0.125</w:t>
            </w:r>
          </w:p>
        </w:tc>
        <w:tc>
          <w:tcPr>
            <w:tcW w:w="1498" w:type="dxa"/>
          </w:tcPr>
          <w:p w14:paraId="3C21A24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0.750</w:t>
            </w:r>
          </w:p>
        </w:tc>
        <w:tc>
          <w:tcPr>
            <w:tcW w:w="535" w:type="dxa"/>
          </w:tcPr>
          <w:p w14:paraId="715B19F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80</w:t>
            </w:r>
          </w:p>
        </w:tc>
      </w:tr>
      <w:tr w:rsidR="007D1668" w:rsidRPr="005871E7" w14:paraId="697726ED" w14:textId="77777777" w:rsidTr="002C3392">
        <w:tc>
          <w:tcPr>
            <w:tcW w:w="2996" w:type="dxa"/>
          </w:tcPr>
          <w:p w14:paraId="4F76554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Higher</w:t>
            </w:r>
          </w:p>
        </w:tc>
        <w:tc>
          <w:tcPr>
            <w:tcW w:w="856" w:type="dxa"/>
          </w:tcPr>
          <w:p w14:paraId="09B1F42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0.515</w:t>
            </w:r>
          </w:p>
        </w:tc>
        <w:tc>
          <w:tcPr>
            <w:tcW w:w="1177" w:type="dxa"/>
          </w:tcPr>
          <w:p w14:paraId="0AF0964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0.396</w:t>
            </w:r>
          </w:p>
        </w:tc>
        <w:tc>
          <w:tcPr>
            <w:tcW w:w="856" w:type="dxa"/>
          </w:tcPr>
          <w:p w14:paraId="4AC2AD70"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0.311</w:t>
            </w:r>
          </w:p>
        </w:tc>
        <w:tc>
          <w:tcPr>
            <w:tcW w:w="1498" w:type="dxa"/>
          </w:tcPr>
          <w:p w14:paraId="298474A3"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0.709</w:t>
            </w:r>
          </w:p>
        </w:tc>
        <w:tc>
          <w:tcPr>
            <w:tcW w:w="535" w:type="dxa"/>
          </w:tcPr>
          <w:p w14:paraId="597B479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1205</w:t>
            </w:r>
          </w:p>
        </w:tc>
      </w:tr>
      <w:tr w:rsidR="007D1668" w:rsidRPr="005871E7" w14:paraId="3D3651DB" w14:textId="77777777" w:rsidTr="002C3392">
        <w:tc>
          <w:tcPr>
            <w:tcW w:w="2996" w:type="dxa"/>
          </w:tcPr>
          <w:p w14:paraId="1B1D4A9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Pre-primary/kindergarten</w:t>
            </w:r>
          </w:p>
        </w:tc>
        <w:tc>
          <w:tcPr>
            <w:tcW w:w="856" w:type="dxa"/>
          </w:tcPr>
          <w:p w14:paraId="4DC312F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0.553</w:t>
            </w:r>
          </w:p>
        </w:tc>
        <w:tc>
          <w:tcPr>
            <w:tcW w:w="1177" w:type="dxa"/>
          </w:tcPr>
          <w:p w14:paraId="4FBB699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0.479</w:t>
            </w:r>
          </w:p>
        </w:tc>
        <w:tc>
          <w:tcPr>
            <w:tcW w:w="856" w:type="dxa"/>
          </w:tcPr>
          <w:p w14:paraId="63CEBA3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0.266</w:t>
            </w:r>
          </w:p>
        </w:tc>
        <w:tc>
          <w:tcPr>
            <w:tcW w:w="1498" w:type="dxa"/>
          </w:tcPr>
          <w:p w14:paraId="0CCAD38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0.833</w:t>
            </w:r>
          </w:p>
        </w:tc>
        <w:tc>
          <w:tcPr>
            <w:tcW w:w="535" w:type="dxa"/>
          </w:tcPr>
          <w:p w14:paraId="5C22C6E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94</w:t>
            </w:r>
          </w:p>
        </w:tc>
      </w:tr>
      <w:tr w:rsidR="007D1668" w:rsidRPr="005871E7" w14:paraId="32ACB4E4" w14:textId="77777777" w:rsidTr="002C3392">
        <w:tc>
          <w:tcPr>
            <w:tcW w:w="2996" w:type="dxa"/>
          </w:tcPr>
          <w:p w14:paraId="67EF1DA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Primary</w:t>
            </w:r>
          </w:p>
        </w:tc>
        <w:tc>
          <w:tcPr>
            <w:tcW w:w="856" w:type="dxa"/>
          </w:tcPr>
          <w:p w14:paraId="5B5109A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0.469</w:t>
            </w:r>
          </w:p>
        </w:tc>
        <w:tc>
          <w:tcPr>
            <w:tcW w:w="1177" w:type="dxa"/>
          </w:tcPr>
          <w:p w14:paraId="4EECF74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0.429</w:t>
            </w:r>
          </w:p>
        </w:tc>
        <w:tc>
          <w:tcPr>
            <w:tcW w:w="856" w:type="dxa"/>
          </w:tcPr>
          <w:p w14:paraId="73D853C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0.317</w:t>
            </w:r>
          </w:p>
        </w:tc>
        <w:tc>
          <w:tcPr>
            <w:tcW w:w="1498" w:type="dxa"/>
          </w:tcPr>
          <w:p w14:paraId="4D1327C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0.789</w:t>
            </w:r>
          </w:p>
        </w:tc>
        <w:tc>
          <w:tcPr>
            <w:tcW w:w="535" w:type="dxa"/>
          </w:tcPr>
          <w:p w14:paraId="72EABEF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1060</w:t>
            </w:r>
          </w:p>
        </w:tc>
      </w:tr>
      <w:tr w:rsidR="007D1668" w:rsidRPr="005871E7" w14:paraId="5C33134A" w14:textId="77777777" w:rsidTr="002C3392">
        <w:tc>
          <w:tcPr>
            <w:tcW w:w="2996" w:type="dxa"/>
          </w:tcPr>
          <w:p w14:paraId="26A45A4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Secondary</w:t>
            </w:r>
          </w:p>
        </w:tc>
        <w:tc>
          <w:tcPr>
            <w:tcW w:w="856" w:type="dxa"/>
          </w:tcPr>
          <w:p w14:paraId="0A2852A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0.475</w:t>
            </w:r>
          </w:p>
        </w:tc>
        <w:tc>
          <w:tcPr>
            <w:tcW w:w="1177" w:type="dxa"/>
          </w:tcPr>
          <w:p w14:paraId="47F68F2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0.407</w:t>
            </w:r>
          </w:p>
        </w:tc>
        <w:tc>
          <w:tcPr>
            <w:tcW w:w="856" w:type="dxa"/>
          </w:tcPr>
          <w:p w14:paraId="58DDB80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0.288</w:t>
            </w:r>
          </w:p>
        </w:tc>
        <w:tc>
          <w:tcPr>
            <w:tcW w:w="1498" w:type="dxa"/>
          </w:tcPr>
          <w:p w14:paraId="4CE9087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0.736</w:t>
            </w:r>
          </w:p>
        </w:tc>
        <w:tc>
          <w:tcPr>
            <w:tcW w:w="535" w:type="dxa"/>
          </w:tcPr>
          <w:p w14:paraId="22F6414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1848</w:t>
            </w:r>
          </w:p>
        </w:tc>
      </w:tr>
      <w:tr w:rsidR="007D1668" w:rsidRPr="005871E7" w14:paraId="3659283B" w14:textId="77777777" w:rsidTr="002C3392">
        <w:tc>
          <w:tcPr>
            <w:tcW w:w="2996" w:type="dxa"/>
          </w:tcPr>
          <w:p w14:paraId="2E77D733"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NA / No formal education</w:t>
            </w:r>
          </w:p>
        </w:tc>
        <w:tc>
          <w:tcPr>
            <w:tcW w:w="856" w:type="dxa"/>
          </w:tcPr>
          <w:p w14:paraId="468786C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0.288</w:t>
            </w:r>
          </w:p>
        </w:tc>
        <w:tc>
          <w:tcPr>
            <w:tcW w:w="1177" w:type="dxa"/>
          </w:tcPr>
          <w:p w14:paraId="584A9CE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0.234</w:t>
            </w:r>
          </w:p>
        </w:tc>
        <w:tc>
          <w:tcPr>
            <w:tcW w:w="856" w:type="dxa"/>
          </w:tcPr>
          <w:p w14:paraId="4171C8C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0.146</w:t>
            </w:r>
          </w:p>
        </w:tc>
        <w:tc>
          <w:tcPr>
            <w:tcW w:w="1498" w:type="dxa"/>
          </w:tcPr>
          <w:p w14:paraId="4530F82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0.514</w:t>
            </w:r>
          </w:p>
        </w:tc>
        <w:tc>
          <w:tcPr>
            <w:tcW w:w="535" w:type="dxa"/>
          </w:tcPr>
          <w:p w14:paraId="02ACB2E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3777</w:t>
            </w:r>
          </w:p>
        </w:tc>
      </w:tr>
    </w:tbl>
    <w:p w14:paraId="15693C20" w14:textId="228357C4" w:rsidR="007D1668" w:rsidRPr="005871E7" w:rsidRDefault="006B151C" w:rsidP="006B151C">
      <w:pPr>
        <w:pStyle w:val="Heading2"/>
        <w:rPr>
          <w:rFonts w:ascii="Garamond" w:hAnsi="Garamond"/>
        </w:rPr>
      </w:pPr>
      <w:bookmarkStart w:id="31" w:name="Xbc621bb8cfa7406d547cc0ee9a0abe7a1f0a9ee"/>
      <w:bookmarkStart w:id="32" w:name="_Toc201650798"/>
      <w:bookmarkEnd w:id="23"/>
      <w:bookmarkEnd w:id="30"/>
      <w:r>
        <w:rPr>
          <w:rFonts w:ascii="Garamond" w:hAnsi="Garamond"/>
        </w:rPr>
        <w:t xml:space="preserve">5.4 </w:t>
      </w:r>
      <w:r w:rsidR="007D1668" w:rsidRPr="005871E7">
        <w:rPr>
          <w:rFonts w:ascii="Garamond" w:hAnsi="Garamond"/>
        </w:rPr>
        <w:t>Statistical Test of Differences in Coverage by Education Level</w:t>
      </w:r>
      <w:bookmarkEnd w:id="32"/>
    </w:p>
    <w:p w14:paraId="01345632"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Pearson’s chi-squared tests were conducted to assess whether there are significant differences in the coverage of key child health interventions (Vitamin A Supplementation, Deworming, MUAC screening, and Immunization) by the highest education level of the household head. The strength of association was evaluated using Cramér’s V.</w:t>
      </w:r>
    </w:p>
    <w:p w14:paraId="4FDB62FA" w14:textId="77777777" w:rsidR="007D1668" w:rsidRPr="005871E7" w:rsidRDefault="007D1668" w:rsidP="007D1668">
      <w:pPr>
        <w:pStyle w:val="BodyText"/>
        <w:spacing w:line="360" w:lineRule="auto"/>
        <w:jc w:val="both"/>
        <w:rPr>
          <w:rFonts w:ascii="Garamond" w:hAnsi="Garamond"/>
        </w:rPr>
      </w:pPr>
      <w:r w:rsidRPr="005871E7">
        <w:rPr>
          <w:rFonts w:ascii="Garamond" w:hAnsi="Garamond"/>
        </w:rPr>
        <w:t>Although, there are statistically significant differences in coverage rates for VAS and MUAC screening by household head education level, the magnitude of these associations is very weak, as indicated by low Cramér’s V values. No significant association was found for immunization coverage. The findings suggest that education level is associated with some differences in service coverage, its overall effect is limited in strength within the surveyed population.</w:t>
      </w:r>
    </w:p>
    <w:p w14:paraId="2E70EE1C" w14:textId="35C58C39" w:rsidR="007D1668" w:rsidRPr="005871E7" w:rsidRDefault="00B30AAE" w:rsidP="00B30AAE">
      <w:pPr>
        <w:pStyle w:val="Heading2"/>
        <w:rPr>
          <w:rFonts w:ascii="Garamond" w:hAnsi="Garamond"/>
        </w:rPr>
      </w:pPr>
      <w:bookmarkStart w:id="33" w:name="Xeb5fa4916e0bb4a86c0a5929e5ace7e43f21ae0"/>
      <w:bookmarkStart w:id="34" w:name="_Toc201650799"/>
      <w:bookmarkEnd w:id="31"/>
      <w:r>
        <w:rPr>
          <w:rFonts w:ascii="Garamond" w:hAnsi="Garamond"/>
        </w:rPr>
        <w:t>5.</w:t>
      </w:r>
      <w:r w:rsidR="006B151C">
        <w:rPr>
          <w:rFonts w:ascii="Garamond" w:hAnsi="Garamond"/>
        </w:rPr>
        <w:t>5</w:t>
      </w:r>
      <w:r>
        <w:rPr>
          <w:rFonts w:ascii="Garamond" w:hAnsi="Garamond"/>
        </w:rPr>
        <w:t xml:space="preserve"> </w:t>
      </w:r>
      <w:r w:rsidR="007D1668" w:rsidRPr="005871E7">
        <w:rPr>
          <w:rFonts w:ascii="Garamond" w:hAnsi="Garamond"/>
        </w:rPr>
        <w:t>Awareness of MNCHW/SMC/VAS (source and purpose)</w:t>
      </w:r>
      <w:bookmarkEnd w:id="34"/>
    </w:p>
    <w:p w14:paraId="3D6B6C95"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 xml:space="preserve">The table below presents the proportion of surveyed respondents who reported being aware of Maternal, Newborn, and Child Health Week (MNCHW), Seasonal Malaria Chemoprevention (SMC), and </w:t>
      </w:r>
      <w:proofErr w:type="gramStart"/>
      <w:r w:rsidRPr="005871E7">
        <w:rPr>
          <w:rFonts w:ascii="Garamond" w:hAnsi="Garamond"/>
        </w:rPr>
        <w:t>Vitamin A</w:t>
      </w:r>
      <w:proofErr w:type="gramEnd"/>
      <w:r w:rsidRPr="005871E7">
        <w:rPr>
          <w:rFonts w:ascii="Garamond" w:hAnsi="Garamond"/>
        </w:rPr>
        <w:t xml:space="preserve"> Supplementation (VAS).</w:t>
      </w:r>
    </w:p>
    <w:tbl>
      <w:tblPr>
        <w:tblStyle w:val="Table"/>
        <w:tblW w:w="0" w:type="auto"/>
        <w:tblLook w:val="0020" w:firstRow="1" w:lastRow="0" w:firstColumn="0" w:lastColumn="0" w:noHBand="0" w:noVBand="0"/>
      </w:tblPr>
      <w:tblGrid>
        <w:gridCol w:w="2206"/>
        <w:gridCol w:w="1909"/>
      </w:tblGrid>
      <w:tr w:rsidR="007D1668" w:rsidRPr="005871E7" w14:paraId="241083AB"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D3163B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Awareness Type</w:t>
            </w:r>
          </w:p>
        </w:tc>
        <w:tc>
          <w:tcPr>
            <w:tcW w:w="0" w:type="auto"/>
          </w:tcPr>
          <w:p w14:paraId="4ACC8B80"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Proportion Aware</w:t>
            </w:r>
          </w:p>
        </w:tc>
      </w:tr>
      <w:tr w:rsidR="007D1668" w:rsidRPr="005871E7" w14:paraId="73557E5C" w14:textId="77777777" w:rsidTr="002C3392">
        <w:tc>
          <w:tcPr>
            <w:tcW w:w="0" w:type="auto"/>
          </w:tcPr>
          <w:p w14:paraId="28980C9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MNCHW Awareness</w:t>
            </w:r>
          </w:p>
        </w:tc>
        <w:tc>
          <w:tcPr>
            <w:tcW w:w="0" w:type="auto"/>
          </w:tcPr>
          <w:p w14:paraId="6C28C68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0.34</w:t>
            </w:r>
          </w:p>
        </w:tc>
      </w:tr>
      <w:tr w:rsidR="007D1668" w:rsidRPr="005871E7" w14:paraId="22EA71F0" w14:textId="77777777" w:rsidTr="002C3392">
        <w:tc>
          <w:tcPr>
            <w:tcW w:w="0" w:type="auto"/>
          </w:tcPr>
          <w:p w14:paraId="31DD94B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lastRenderedPageBreak/>
              <w:t>SMC Awareness</w:t>
            </w:r>
          </w:p>
        </w:tc>
        <w:tc>
          <w:tcPr>
            <w:tcW w:w="0" w:type="auto"/>
          </w:tcPr>
          <w:p w14:paraId="1C9F361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t>
            </w:r>
          </w:p>
        </w:tc>
      </w:tr>
      <w:tr w:rsidR="007D1668" w:rsidRPr="005871E7" w14:paraId="3D7E0923" w14:textId="77777777" w:rsidTr="002C3392">
        <w:tc>
          <w:tcPr>
            <w:tcW w:w="0" w:type="auto"/>
          </w:tcPr>
          <w:p w14:paraId="1721C16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VAS Awareness</w:t>
            </w:r>
          </w:p>
        </w:tc>
        <w:tc>
          <w:tcPr>
            <w:tcW w:w="0" w:type="auto"/>
          </w:tcPr>
          <w:p w14:paraId="0505759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0.68</w:t>
            </w:r>
          </w:p>
        </w:tc>
      </w:tr>
    </w:tbl>
    <w:p w14:paraId="27315C48" w14:textId="77777777" w:rsidR="007D1668" w:rsidRPr="005871E7" w:rsidRDefault="007D1668" w:rsidP="007D1668">
      <w:pPr>
        <w:pStyle w:val="BodyText"/>
        <w:spacing w:line="360" w:lineRule="auto"/>
        <w:jc w:val="both"/>
        <w:rPr>
          <w:rFonts w:ascii="Garamond" w:hAnsi="Garamond"/>
        </w:rPr>
      </w:pPr>
      <w:r w:rsidRPr="005871E7">
        <w:rPr>
          <w:rFonts w:ascii="Garamond" w:hAnsi="Garamond"/>
          <w:i/>
          <w:iCs/>
        </w:rPr>
        <w:t>Note: SMC awareness was not available (NA) from the dataset.</w:t>
      </w:r>
    </w:p>
    <w:p w14:paraId="2BAE0475" w14:textId="77777777" w:rsidR="007D1668" w:rsidRPr="005871E7" w:rsidRDefault="007D1668" w:rsidP="007D1668">
      <w:pPr>
        <w:pStyle w:val="BodyText"/>
        <w:spacing w:line="360" w:lineRule="auto"/>
        <w:jc w:val="both"/>
        <w:rPr>
          <w:rFonts w:ascii="Garamond" w:hAnsi="Garamond"/>
        </w:rPr>
      </w:pPr>
      <w:r w:rsidRPr="005871E7">
        <w:rPr>
          <w:rFonts w:ascii="Garamond" w:hAnsi="Garamond"/>
        </w:rPr>
        <w:t>The results indicate that approximately 34% of respondents were aware of MNCHW, while a substantially higher proportion (68%) were aware of VAS. Data on SMC awareness was not available. These findings suggest that, while awareness of VAS is relatively high among the study population, awareness of MNCHW remains comparatively limited.</w:t>
      </w:r>
    </w:p>
    <w:p w14:paraId="4DEDCF39" w14:textId="2B32E32A" w:rsidR="007D1668" w:rsidRPr="005871E7" w:rsidRDefault="006B151C" w:rsidP="006B151C">
      <w:pPr>
        <w:pStyle w:val="Heading2"/>
        <w:rPr>
          <w:rFonts w:ascii="Garamond" w:hAnsi="Garamond"/>
        </w:rPr>
      </w:pPr>
      <w:bookmarkStart w:id="35" w:name="X31a3d2e67041d782e860b55cc6c5ae3e2a3c3eb"/>
      <w:bookmarkStart w:id="36" w:name="_Toc201650800"/>
      <w:r>
        <w:rPr>
          <w:rFonts w:ascii="Garamond" w:hAnsi="Garamond"/>
        </w:rPr>
        <w:t xml:space="preserve">5.6 </w:t>
      </w:r>
      <w:r w:rsidR="007D1668" w:rsidRPr="005871E7">
        <w:rPr>
          <w:rFonts w:ascii="Garamond" w:hAnsi="Garamond"/>
        </w:rPr>
        <w:t>Sources of Information for Vitamin A Supplementation (VAS)</w:t>
      </w:r>
      <w:bookmarkEnd w:id="36"/>
    </w:p>
    <w:p w14:paraId="3733ABED"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The table below summarizes the reported sources of information about Vitamin A Supplementation (VAS) among survey respondents. Each source is shown with the number and percentage of respondents who identified it as a channel through which they heard about VAS.</w:t>
      </w:r>
    </w:p>
    <w:tbl>
      <w:tblPr>
        <w:tblStyle w:val="Table"/>
        <w:tblW w:w="5000" w:type="pct"/>
        <w:tblLayout w:type="fixed"/>
        <w:tblLook w:val="0020" w:firstRow="1" w:lastRow="0" w:firstColumn="0" w:lastColumn="0" w:noHBand="0" w:noVBand="0"/>
      </w:tblPr>
      <w:tblGrid>
        <w:gridCol w:w="6487"/>
        <w:gridCol w:w="1336"/>
        <w:gridCol w:w="1753"/>
      </w:tblGrid>
      <w:tr w:rsidR="007D1668" w:rsidRPr="005871E7" w14:paraId="55D1305C" w14:textId="77777777" w:rsidTr="00B30AAE">
        <w:trPr>
          <w:cnfStyle w:val="100000000000" w:firstRow="1" w:lastRow="0" w:firstColumn="0" w:lastColumn="0" w:oddVBand="0" w:evenVBand="0" w:oddHBand="0" w:evenHBand="0" w:firstRowFirstColumn="0" w:firstRowLastColumn="0" w:lastRowFirstColumn="0" w:lastRowLastColumn="0"/>
          <w:tblHeader/>
        </w:trPr>
        <w:tc>
          <w:tcPr>
            <w:tcW w:w="6487" w:type="dxa"/>
          </w:tcPr>
          <w:p w14:paraId="5457845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Source</w:t>
            </w:r>
          </w:p>
        </w:tc>
        <w:tc>
          <w:tcPr>
            <w:tcW w:w="1336" w:type="dxa"/>
          </w:tcPr>
          <w:p w14:paraId="3C7D680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Frequency</w:t>
            </w:r>
          </w:p>
        </w:tc>
        <w:tc>
          <w:tcPr>
            <w:tcW w:w="1753" w:type="dxa"/>
          </w:tcPr>
          <w:p w14:paraId="320DC87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Percent (%)</w:t>
            </w:r>
          </w:p>
        </w:tc>
      </w:tr>
      <w:tr w:rsidR="007D1668" w:rsidRPr="005871E7" w14:paraId="33BB5C7B" w14:textId="77777777" w:rsidTr="00B30AAE">
        <w:tc>
          <w:tcPr>
            <w:tcW w:w="6487" w:type="dxa"/>
          </w:tcPr>
          <w:p w14:paraId="5539282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Health facility staff</w:t>
            </w:r>
          </w:p>
        </w:tc>
        <w:tc>
          <w:tcPr>
            <w:tcW w:w="1336" w:type="dxa"/>
          </w:tcPr>
          <w:p w14:paraId="0CC6BEE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3,826</w:t>
            </w:r>
          </w:p>
        </w:tc>
        <w:tc>
          <w:tcPr>
            <w:tcW w:w="1753" w:type="dxa"/>
          </w:tcPr>
          <w:p w14:paraId="3F978AF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47.4</w:t>
            </w:r>
          </w:p>
        </w:tc>
      </w:tr>
      <w:tr w:rsidR="007D1668" w:rsidRPr="005871E7" w14:paraId="1F25E473" w14:textId="77777777" w:rsidTr="00B30AAE">
        <w:tc>
          <w:tcPr>
            <w:tcW w:w="6487" w:type="dxa"/>
          </w:tcPr>
          <w:p w14:paraId="35D7B55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Community health worker or SMC distributor</w:t>
            </w:r>
          </w:p>
        </w:tc>
        <w:tc>
          <w:tcPr>
            <w:tcW w:w="1336" w:type="dxa"/>
          </w:tcPr>
          <w:p w14:paraId="2F54E8E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1,409</w:t>
            </w:r>
          </w:p>
        </w:tc>
        <w:tc>
          <w:tcPr>
            <w:tcW w:w="1753" w:type="dxa"/>
          </w:tcPr>
          <w:p w14:paraId="6778C4E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17.5</w:t>
            </w:r>
          </w:p>
        </w:tc>
      </w:tr>
      <w:tr w:rsidR="007D1668" w:rsidRPr="005871E7" w14:paraId="4803C48D" w14:textId="77777777" w:rsidTr="00B30AAE">
        <w:tc>
          <w:tcPr>
            <w:tcW w:w="6487" w:type="dxa"/>
          </w:tcPr>
          <w:p w14:paraId="0BB9DB2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Town announcer</w:t>
            </w:r>
          </w:p>
        </w:tc>
        <w:tc>
          <w:tcPr>
            <w:tcW w:w="1336" w:type="dxa"/>
          </w:tcPr>
          <w:p w14:paraId="74195D0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626</w:t>
            </w:r>
          </w:p>
        </w:tc>
        <w:tc>
          <w:tcPr>
            <w:tcW w:w="1753" w:type="dxa"/>
          </w:tcPr>
          <w:p w14:paraId="0C12CB0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7.8</w:t>
            </w:r>
          </w:p>
        </w:tc>
      </w:tr>
      <w:tr w:rsidR="007D1668" w:rsidRPr="005871E7" w14:paraId="3576BB35" w14:textId="77777777" w:rsidTr="00B30AAE">
        <w:tc>
          <w:tcPr>
            <w:tcW w:w="6487" w:type="dxa"/>
          </w:tcPr>
          <w:p w14:paraId="53983C7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Local leader</w:t>
            </w:r>
          </w:p>
        </w:tc>
        <w:tc>
          <w:tcPr>
            <w:tcW w:w="1336" w:type="dxa"/>
          </w:tcPr>
          <w:p w14:paraId="1254D35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624</w:t>
            </w:r>
          </w:p>
        </w:tc>
        <w:tc>
          <w:tcPr>
            <w:tcW w:w="1753" w:type="dxa"/>
          </w:tcPr>
          <w:p w14:paraId="5B3C5AD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7.7</w:t>
            </w:r>
          </w:p>
        </w:tc>
      </w:tr>
      <w:tr w:rsidR="007D1668" w:rsidRPr="005871E7" w14:paraId="3FE7E2F4" w14:textId="77777777" w:rsidTr="00B30AAE">
        <w:tc>
          <w:tcPr>
            <w:tcW w:w="6487" w:type="dxa"/>
          </w:tcPr>
          <w:p w14:paraId="26F8C1D0"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Religious leader</w:t>
            </w:r>
          </w:p>
        </w:tc>
        <w:tc>
          <w:tcPr>
            <w:tcW w:w="1336" w:type="dxa"/>
          </w:tcPr>
          <w:p w14:paraId="30300F1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320</w:t>
            </w:r>
          </w:p>
        </w:tc>
        <w:tc>
          <w:tcPr>
            <w:tcW w:w="1753" w:type="dxa"/>
          </w:tcPr>
          <w:p w14:paraId="3EBEFC7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4.0</w:t>
            </w:r>
          </w:p>
        </w:tc>
      </w:tr>
      <w:tr w:rsidR="007D1668" w:rsidRPr="005871E7" w14:paraId="65136C74" w14:textId="77777777" w:rsidTr="00B30AAE">
        <w:tc>
          <w:tcPr>
            <w:tcW w:w="6487" w:type="dxa"/>
          </w:tcPr>
          <w:p w14:paraId="3DFA8B4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Word of mouth (friends or family)</w:t>
            </w:r>
          </w:p>
        </w:tc>
        <w:tc>
          <w:tcPr>
            <w:tcW w:w="1336" w:type="dxa"/>
          </w:tcPr>
          <w:p w14:paraId="4FBEC89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291</w:t>
            </w:r>
          </w:p>
        </w:tc>
        <w:tc>
          <w:tcPr>
            <w:tcW w:w="1753" w:type="dxa"/>
          </w:tcPr>
          <w:p w14:paraId="6522047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3.6</w:t>
            </w:r>
          </w:p>
        </w:tc>
      </w:tr>
      <w:tr w:rsidR="007D1668" w:rsidRPr="005871E7" w14:paraId="5D71787F" w14:textId="77777777" w:rsidTr="00B30AAE">
        <w:tc>
          <w:tcPr>
            <w:tcW w:w="6487" w:type="dxa"/>
          </w:tcPr>
          <w:p w14:paraId="353482B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MNCH Week</w:t>
            </w:r>
          </w:p>
        </w:tc>
        <w:tc>
          <w:tcPr>
            <w:tcW w:w="1336" w:type="dxa"/>
          </w:tcPr>
          <w:p w14:paraId="3A86B75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231</w:t>
            </w:r>
          </w:p>
        </w:tc>
        <w:tc>
          <w:tcPr>
            <w:tcW w:w="1753" w:type="dxa"/>
          </w:tcPr>
          <w:p w14:paraId="5D353650"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2.9</w:t>
            </w:r>
          </w:p>
        </w:tc>
      </w:tr>
      <w:tr w:rsidR="007D1668" w:rsidRPr="005871E7" w14:paraId="06861201" w14:textId="77777777" w:rsidTr="00B30AAE">
        <w:tc>
          <w:tcPr>
            <w:tcW w:w="6487" w:type="dxa"/>
          </w:tcPr>
          <w:p w14:paraId="65288D6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Radio</w:t>
            </w:r>
          </w:p>
        </w:tc>
        <w:tc>
          <w:tcPr>
            <w:tcW w:w="1336" w:type="dxa"/>
          </w:tcPr>
          <w:p w14:paraId="5FC4BBF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198</w:t>
            </w:r>
          </w:p>
        </w:tc>
        <w:tc>
          <w:tcPr>
            <w:tcW w:w="1753" w:type="dxa"/>
          </w:tcPr>
          <w:p w14:paraId="196D05D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2.5</w:t>
            </w:r>
          </w:p>
        </w:tc>
      </w:tr>
      <w:tr w:rsidR="007D1668" w:rsidRPr="005871E7" w14:paraId="1BC24800" w14:textId="77777777" w:rsidTr="00B30AAE">
        <w:tc>
          <w:tcPr>
            <w:tcW w:w="6487" w:type="dxa"/>
          </w:tcPr>
          <w:p w14:paraId="606D5E5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Other</w:t>
            </w:r>
          </w:p>
        </w:tc>
        <w:tc>
          <w:tcPr>
            <w:tcW w:w="1336" w:type="dxa"/>
          </w:tcPr>
          <w:p w14:paraId="5ECA2A3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33</w:t>
            </w:r>
          </w:p>
        </w:tc>
        <w:tc>
          <w:tcPr>
            <w:tcW w:w="1753" w:type="dxa"/>
          </w:tcPr>
          <w:p w14:paraId="0CC279A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0.4</w:t>
            </w:r>
          </w:p>
        </w:tc>
      </w:tr>
      <w:tr w:rsidR="007D1668" w:rsidRPr="005871E7" w14:paraId="77C067A7" w14:textId="77777777" w:rsidTr="00B30AAE">
        <w:tc>
          <w:tcPr>
            <w:tcW w:w="6487" w:type="dxa"/>
          </w:tcPr>
          <w:p w14:paraId="0750E84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Television</w:t>
            </w:r>
          </w:p>
        </w:tc>
        <w:tc>
          <w:tcPr>
            <w:tcW w:w="1336" w:type="dxa"/>
          </w:tcPr>
          <w:p w14:paraId="45EC32E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21</w:t>
            </w:r>
          </w:p>
        </w:tc>
        <w:tc>
          <w:tcPr>
            <w:tcW w:w="1753" w:type="dxa"/>
          </w:tcPr>
          <w:p w14:paraId="1168ACF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0.3</w:t>
            </w:r>
          </w:p>
        </w:tc>
      </w:tr>
      <w:tr w:rsidR="007D1668" w:rsidRPr="005871E7" w14:paraId="2E522A0C" w14:textId="77777777" w:rsidTr="00B30AAE">
        <w:tc>
          <w:tcPr>
            <w:tcW w:w="6487" w:type="dxa"/>
          </w:tcPr>
          <w:p w14:paraId="2B556F6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Printed materials or banners</w:t>
            </w:r>
          </w:p>
        </w:tc>
        <w:tc>
          <w:tcPr>
            <w:tcW w:w="1336" w:type="dxa"/>
          </w:tcPr>
          <w:p w14:paraId="079F6E1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16</w:t>
            </w:r>
          </w:p>
        </w:tc>
        <w:tc>
          <w:tcPr>
            <w:tcW w:w="1753" w:type="dxa"/>
          </w:tcPr>
          <w:p w14:paraId="0A4FB15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0.2</w:t>
            </w:r>
          </w:p>
        </w:tc>
      </w:tr>
    </w:tbl>
    <w:p w14:paraId="2123DBFD" w14:textId="77777777" w:rsidR="007D1668" w:rsidRPr="005871E7" w:rsidRDefault="007D1668" w:rsidP="007D1668">
      <w:pPr>
        <w:pStyle w:val="BodyText"/>
        <w:spacing w:line="360" w:lineRule="auto"/>
        <w:jc w:val="both"/>
        <w:rPr>
          <w:rFonts w:ascii="Garamond" w:hAnsi="Garamond"/>
        </w:rPr>
      </w:pPr>
      <w:r w:rsidRPr="005871E7">
        <w:rPr>
          <w:rFonts w:ascii="Garamond" w:hAnsi="Garamond"/>
        </w:rPr>
        <w:t xml:space="preserve">The findings indicate that health facility staff were by far the most common source of information about VAS, cited by nearly half (47.4%) of respondents. Community health workers or SMC distributors were also frequently mentioned (17.5%), highlighting their critical role in information </w:t>
      </w:r>
      <w:r w:rsidRPr="005871E7">
        <w:rPr>
          <w:rFonts w:ascii="Garamond" w:hAnsi="Garamond"/>
        </w:rPr>
        <w:lastRenderedPageBreak/>
        <w:t>dissemination at the community level. Other prominent sources included town announcers (7.8%) and local leaders (7.7%). Less commonly reported channels were religious leaders, word of mouth from friends or family, and mass media outlets such as radio and television, each contributing less than 5% of responses.</w:t>
      </w:r>
    </w:p>
    <w:p w14:paraId="63AB17BD" w14:textId="3FE12932" w:rsidR="007D1668" w:rsidRPr="005871E7" w:rsidRDefault="006B151C" w:rsidP="006B151C">
      <w:pPr>
        <w:pStyle w:val="Heading2"/>
        <w:rPr>
          <w:rFonts w:ascii="Garamond" w:hAnsi="Garamond"/>
        </w:rPr>
      </w:pPr>
      <w:bookmarkStart w:id="37" w:name="X952536fa81475b8012b37050586de1536f76d40"/>
      <w:bookmarkStart w:id="38" w:name="_Toc201650801"/>
      <w:bookmarkEnd w:id="33"/>
      <w:bookmarkEnd w:id="35"/>
      <w:r>
        <w:rPr>
          <w:rFonts w:ascii="Garamond" w:hAnsi="Garamond"/>
        </w:rPr>
        <w:t xml:space="preserve">5.7 </w:t>
      </w:r>
      <w:r w:rsidR="007D1668" w:rsidRPr="005871E7">
        <w:rPr>
          <w:rFonts w:ascii="Garamond" w:hAnsi="Garamond"/>
        </w:rPr>
        <w:t>VAS Coverage Among Children Aged 6–59 Months</w:t>
      </w:r>
      <w:bookmarkEnd w:id="38"/>
    </w:p>
    <w:p w14:paraId="35BA8BB2"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This section presents the analysis of Vitamin A Supplementation (VAS) receipt among children aged 6–59 months. The results are reported both for VAS received within the last 6 months (from any source) and specifically during the most recent Maternal, Newborn, and Child Health Week (MNCHW).</w:t>
      </w:r>
    </w:p>
    <w:p w14:paraId="508E03EE" w14:textId="1C815B8E" w:rsidR="007D1668" w:rsidRPr="005871E7" w:rsidRDefault="006B151C" w:rsidP="006B151C">
      <w:pPr>
        <w:pStyle w:val="Heading2"/>
        <w:rPr>
          <w:rFonts w:ascii="Garamond" w:hAnsi="Garamond"/>
        </w:rPr>
      </w:pPr>
      <w:bookmarkStart w:id="39" w:name="X4b182a3945004882c6c8d42eb70804a1eb53e44"/>
      <w:bookmarkStart w:id="40" w:name="_Toc201650802"/>
      <w:r>
        <w:rPr>
          <w:rFonts w:ascii="Garamond" w:hAnsi="Garamond"/>
        </w:rPr>
        <w:t xml:space="preserve">5.8 </w:t>
      </w:r>
      <w:r w:rsidR="007D1668" w:rsidRPr="005871E7">
        <w:rPr>
          <w:rFonts w:ascii="Garamond" w:hAnsi="Garamond"/>
        </w:rPr>
        <w:t>Receipt of Child Health Interventions Among Children Aged 6–59 Months</w:t>
      </w:r>
      <w:bookmarkEnd w:id="40"/>
    </w:p>
    <w:p w14:paraId="73399A40" w14:textId="77777777" w:rsidR="007D1668" w:rsidRPr="005871E7" w:rsidRDefault="007D1668" w:rsidP="007D1668">
      <w:pPr>
        <w:pStyle w:val="Heading4"/>
        <w:spacing w:line="360" w:lineRule="auto"/>
        <w:jc w:val="both"/>
        <w:rPr>
          <w:rFonts w:ascii="Garamond" w:hAnsi="Garamond"/>
        </w:rPr>
      </w:pPr>
      <w:bookmarkStart w:id="41" w:name="Xa73300b8a11811078d465a0ef8b0d81b37b3a0d"/>
      <w:r w:rsidRPr="005871E7">
        <w:rPr>
          <w:rFonts w:ascii="Garamond" w:hAnsi="Garamond"/>
        </w:rPr>
        <w:t>Vitamin A Supplementation (VAS) in the Last 6 Months</w:t>
      </w:r>
    </w:p>
    <w:p w14:paraId="03DF6C76"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Among children aged 6–59 months, 39.8% received vitamin A supplementation in the past 6 months, while 60.2% did not receive a dose during this period. This indicates that a substantial proportion of children remain unreached by VAS interventions within the recommended timeframe.</w:t>
      </w:r>
    </w:p>
    <w:tbl>
      <w:tblPr>
        <w:tblStyle w:val="Table"/>
        <w:tblW w:w="0" w:type="auto"/>
        <w:tblLook w:val="0020" w:firstRow="1" w:lastRow="0" w:firstColumn="0" w:lastColumn="0" w:noHBand="0" w:noVBand="0"/>
      </w:tblPr>
      <w:tblGrid>
        <w:gridCol w:w="3201"/>
        <w:gridCol w:w="1189"/>
        <w:gridCol w:w="1321"/>
      </w:tblGrid>
      <w:tr w:rsidR="007D1668" w:rsidRPr="005871E7" w14:paraId="7D7B9E99"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2D508AD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 xml:space="preserve">Received VAS in </w:t>
            </w:r>
            <w:proofErr w:type="gramStart"/>
            <w:r w:rsidRPr="005871E7">
              <w:rPr>
                <w:rFonts w:ascii="Garamond" w:hAnsi="Garamond"/>
              </w:rPr>
              <w:t>Last</w:t>
            </w:r>
            <w:proofErr w:type="gramEnd"/>
            <w:r w:rsidRPr="005871E7">
              <w:rPr>
                <w:rFonts w:ascii="Garamond" w:hAnsi="Garamond"/>
              </w:rPr>
              <w:t xml:space="preserve"> 6 Months</w:t>
            </w:r>
          </w:p>
        </w:tc>
        <w:tc>
          <w:tcPr>
            <w:tcW w:w="0" w:type="auto"/>
          </w:tcPr>
          <w:p w14:paraId="05EC0945" w14:textId="5588FA07" w:rsidR="007D1668" w:rsidRPr="005871E7" w:rsidRDefault="00651AAF" w:rsidP="002C3392">
            <w:pPr>
              <w:pStyle w:val="Compact"/>
              <w:spacing w:line="360" w:lineRule="auto"/>
              <w:jc w:val="both"/>
              <w:rPr>
                <w:rFonts w:ascii="Garamond" w:hAnsi="Garamond"/>
              </w:rPr>
            </w:pPr>
            <w:r>
              <w:rPr>
                <w:rFonts w:ascii="Garamond" w:hAnsi="Garamond"/>
              </w:rPr>
              <w:t>Frequency</w:t>
            </w:r>
          </w:p>
        </w:tc>
        <w:tc>
          <w:tcPr>
            <w:tcW w:w="0" w:type="auto"/>
          </w:tcPr>
          <w:p w14:paraId="4B2C4C6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Percent (%)</w:t>
            </w:r>
          </w:p>
        </w:tc>
      </w:tr>
      <w:tr w:rsidR="007D1668" w:rsidRPr="005871E7" w14:paraId="68C51CA8" w14:textId="77777777" w:rsidTr="002C3392">
        <w:tc>
          <w:tcPr>
            <w:tcW w:w="0" w:type="auto"/>
          </w:tcPr>
          <w:p w14:paraId="0A80409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No</w:t>
            </w:r>
          </w:p>
        </w:tc>
        <w:tc>
          <w:tcPr>
            <w:tcW w:w="0" w:type="auto"/>
          </w:tcPr>
          <w:p w14:paraId="753B38D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4,258</w:t>
            </w:r>
          </w:p>
        </w:tc>
        <w:tc>
          <w:tcPr>
            <w:tcW w:w="0" w:type="auto"/>
          </w:tcPr>
          <w:p w14:paraId="7C01B68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60.2</w:t>
            </w:r>
          </w:p>
        </w:tc>
      </w:tr>
      <w:tr w:rsidR="007D1668" w:rsidRPr="005871E7" w14:paraId="61CDA66A" w14:textId="77777777" w:rsidTr="002C3392">
        <w:tc>
          <w:tcPr>
            <w:tcW w:w="0" w:type="auto"/>
          </w:tcPr>
          <w:p w14:paraId="6CE9465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Yes</w:t>
            </w:r>
          </w:p>
        </w:tc>
        <w:tc>
          <w:tcPr>
            <w:tcW w:w="0" w:type="auto"/>
          </w:tcPr>
          <w:p w14:paraId="4C3CC50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2,815</w:t>
            </w:r>
          </w:p>
        </w:tc>
        <w:tc>
          <w:tcPr>
            <w:tcW w:w="0" w:type="auto"/>
          </w:tcPr>
          <w:p w14:paraId="5260ACA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39.8</w:t>
            </w:r>
          </w:p>
        </w:tc>
      </w:tr>
    </w:tbl>
    <w:p w14:paraId="29761F7A" w14:textId="77777777" w:rsidR="007D1668" w:rsidRPr="005871E7" w:rsidRDefault="007D1668" w:rsidP="007D1668">
      <w:pPr>
        <w:pStyle w:val="Heading4"/>
        <w:spacing w:line="360" w:lineRule="auto"/>
        <w:jc w:val="both"/>
        <w:rPr>
          <w:rFonts w:ascii="Garamond" w:hAnsi="Garamond"/>
        </w:rPr>
      </w:pPr>
      <w:bookmarkStart w:id="42" w:name="receipt-of-smc-cycle-1"/>
      <w:bookmarkEnd w:id="41"/>
      <w:r w:rsidRPr="005871E7">
        <w:rPr>
          <w:rFonts w:ascii="Garamond" w:hAnsi="Garamond"/>
        </w:rPr>
        <w:t>Receipt of SMC (Cycle 1)</w:t>
      </w:r>
    </w:p>
    <w:p w14:paraId="33A26589"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 xml:space="preserve">The data show that 61.3% (n = 4,335) of children received SMC during Cycle 1. However, 38.7% (n=2,738) did not </w:t>
      </w:r>
      <w:proofErr w:type="gramStart"/>
      <w:r w:rsidRPr="005871E7">
        <w:rPr>
          <w:rFonts w:ascii="Garamond" w:hAnsi="Garamond"/>
        </w:rPr>
        <w:t>received</w:t>
      </w:r>
      <w:proofErr w:type="gramEnd"/>
      <w:r w:rsidRPr="005871E7">
        <w:rPr>
          <w:rFonts w:ascii="Garamond" w:hAnsi="Garamond"/>
        </w:rPr>
        <w:t xml:space="preserve"> the SMC during Cycle 1.</w:t>
      </w:r>
    </w:p>
    <w:tbl>
      <w:tblPr>
        <w:tblStyle w:val="Table"/>
        <w:tblW w:w="0" w:type="auto"/>
        <w:tblLook w:val="0020" w:firstRow="1" w:lastRow="0" w:firstColumn="0" w:lastColumn="0" w:noHBand="0" w:noVBand="0"/>
      </w:tblPr>
      <w:tblGrid>
        <w:gridCol w:w="2461"/>
        <w:gridCol w:w="1189"/>
        <w:gridCol w:w="1321"/>
      </w:tblGrid>
      <w:tr w:rsidR="007D1668" w:rsidRPr="005871E7" w14:paraId="516658C2"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781E06E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Received SMC (Cycle 1)</w:t>
            </w:r>
          </w:p>
        </w:tc>
        <w:tc>
          <w:tcPr>
            <w:tcW w:w="0" w:type="auto"/>
          </w:tcPr>
          <w:p w14:paraId="32FC5085" w14:textId="01E06272" w:rsidR="007D1668" w:rsidRPr="005871E7" w:rsidRDefault="00651AAF" w:rsidP="002C3392">
            <w:pPr>
              <w:pStyle w:val="Compact"/>
              <w:spacing w:line="360" w:lineRule="auto"/>
              <w:jc w:val="both"/>
              <w:rPr>
                <w:rFonts w:ascii="Garamond" w:hAnsi="Garamond"/>
              </w:rPr>
            </w:pPr>
            <w:r>
              <w:rPr>
                <w:rFonts w:ascii="Garamond" w:hAnsi="Garamond"/>
              </w:rPr>
              <w:t>Frequency</w:t>
            </w:r>
          </w:p>
        </w:tc>
        <w:tc>
          <w:tcPr>
            <w:tcW w:w="0" w:type="auto"/>
          </w:tcPr>
          <w:p w14:paraId="14A9CE9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Percent (%)</w:t>
            </w:r>
          </w:p>
        </w:tc>
      </w:tr>
      <w:tr w:rsidR="007D1668" w:rsidRPr="005871E7" w14:paraId="1964FE04" w14:textId="77777777" w:rsidTr="002C3392">
        <w:tc>
          <w:tcPr>
            <w:tcW w:w="0" w:type="auto"/>
          </w:tcPr>
          <w:p w14:paraId="5E67DA4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Yes</w:t>
            </w:r>
          </w:p>
        </w:tc>
        <w:tc>
          <w:tcPr>
            <w:tcW w:w="0" w:type="auto"/>
          </w:tcPr>
          <w:p w14:paraId="512D9A6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4,335</w:t>
            </w:r>
          </w:p>
        </w:tc>
        <w:tc>
          <w:tcPr>
            <w:tcW w:w="0" w:type="auto"/>
          </w:tcPr>
          <w:p w14:paraId="5D8A301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61.3</w:t>
            </w:r>
          </w:p>
        </w:tc>
      </w:tr>
      <w:tr w:rsidR="007D1668" w:rsidRPr="005871E7" w14:paraId="7F36635A" w14:textId="77777777" w:rsidTr="002C3392">
        <w:tc>
          <w:tcPr>
            <w:tcW w:w="0" w:type="auto"/>
          </w:tcPr>
          <w:p w14:paraId="5271906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NA / Missing</w:t>
            </w:r>
          </w:p>
        </w:tc>
        <w:tc>
          <w:tcPr>
            <w:tcW w:w="0" w:type="auto"/>
          </w:tcPr>
          <w:p w14:paraId="69BCCA8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2,738</w:t>
            </w:r>
          </w:p>
        </w:tc>
        <w:tc>
          <w:tcPr>
            <w:tcW w:w="0" w:type="auto"/>
          </w:tcPr>
          <w:p w14:paraId="0AB28F7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38.7</w:t>
            </w:r>
          </w:p>
        </w:tc>
      </w:tr>
    </w:tbl>
    <w:p w14:paraId="648E6A74" w14:textId="77777777" w:rsidR="007D1668" w:rsidRPr="005871E7" w:rsidRDefault="007D1668" w:rsidP="007D1668">
      <w:pPr>
        <w:pStyle w:val="Heading4"/>
        <w:spacing w:line="360" w:lineRule="auto"/>
        <w:jc w:val="both"/>
        <w:rPr>
          <w:rFonts w:ascii="Garamond" w:hAnsi="Garamond"/>
        </w:rPr>
      </w:pPr>
      <w:bookmarkStart w:id="43" w:name="deworming-tablet-during-last-mnchw"/>
      <w:bookmarkEnd w:id="42"/>
      <w:r w:rsidRPr="005871E7">
        <w:rPr>
          <w:rFonts w:ascii="Garamond" w:hAnsi="Garamond"/>
        </w:rPr>
        <w:t>Deworming Tablet During Last MNCHW</w:t>
      </w:r>
    </w:p>
    <w:p w14:paraId="4696E099"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 xml:space="preserve">The most common place for children to receive deworming tablets during the last MNCHW was the health facility (18.1%), followed by community drug distributors visiting households (10.9%), and </w:t>
      </w:r>
      <w:r w:rsidRPr="005871E7">
        <w:rPr>
          <w:rFonts w:ascii="Garamond" w:hAnsi="Garamond"/>
        </w:rPr>
        <w:lastRenderedPageBreak/>
        <w:t>outreach posts (3.0%). However, 67.7% of children had no recorded data for deworming tablet receipt, indicating a potential gap in service uptake or reporting.</w:t>
      </w:r>
    </w:p>
    <w:tbl>
      <w:tblPr>
        <w:tblStyle w:val="Table"/>
        <w:tblW w:w="5000" w:type="pct"/>
        <w:tblLayout w:type="fixed"/>
        <w:tblLook w:val="0020" w:firstRow="1" w:lastRow="0" w:firstColumn="0" w:lastColumn="0" w:noHBand="0" w:noVBand="0"/>
      </w:tblPr>
      <w:tblGrid>
        <w:gridCol w:w="4361"/>
        <w:gridCol w:w="1286"/>
        <w:gridCol w:w="1596"/>
        <w:gridCol w:w="2333"/>
      </w:tblGrid>
      <w:tr w:rsidR="007D1668" w:rsidRPr="005871E7" w14:paraId="6E94E926" w14:textId="77777777" w:rsidTr="00651AAF">
        <w:trPr>
          <w:cnfStyle w:val="100000000000" w:firstRow="1" w:lastRow="0" w:firstColumn="0" w:lastColumn="0" w:oddVBand="0" w:evenVBand="0" w:oddHBand="0" w:evenHBand="0" w:firstRowFirstColumn="0" w:firstRowLastColumn="0" w:lastRowFirstColumn="0" w:lastRowLastColumn="0"/>
          <w:tblHeader/>
        </w:trPr>
        <w:tc>
          <w:tcPr>
            <w:tcW w:w="4361" w:type="dxa"/>
          </w:tcPr>
          <w:p w14:paraId="25331C1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Place</w:t>
            </w:r>
          </w:p>
        </w:tc>
        <w:tc>
          <w:tcPr>
            <w:tcW w:w="1286" w:type="dxa"/>
          </w:tcPr>
          <w:p w14:paraId="34CA1F6F" w14:textId="5808215C" w:rsidR="007D1668" w:rsidRPr="005871E7" w:rsidRDefault="00651AAF" w:rsidP="002C3392">
            <w:pPr>
              <w:pStyle w:val="Compact"/>
              <w:spacing w:line="360" w:lineRule="auto"/>
              <w:jc w:val="both"/>
              <w:rPr>
                <w:rFonts w:ascii="Garamond" w:hAnsi="Garamond"/>
              </w:rPr>
            </w:pPr>
            <w:r>
              <w:rPr>
                <w:rFonts w:ascii="Garamond" w:hAnsi="Garamond"/>
              </w:rPr>
              <w:t>Frequency</w:t>
            </w:r>
          </w:p>
        </w:tc>
        <w:tc>
          <w:tcPr>
            <w:tcW w:w="1596" w:type="dxa"/>
          </w:tcPr>
          <w:p w14:paraId="4924C72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Percent (%)</w:t>
            </w:r>
          </w:p>
        </w:tc>
        <w:tc>
          <w:tcPr>
            <w:tcW w:w="2333" w:type="dxa"/>
          </w:tcPr>
          <w:p w14:paraId="22FA121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Valid Percent (%)</w:t>
            </w:r>
          </w:p>
        </w:tc>
      </w:tr>
      <w:tr w:rsidR="007D1668" w:rsidRPr="005871E7" w14:paraId="62CB68E6" w14:textId="77777777" w:rsidTr="00651AAF">
        <w:tc>
          <w:tcPr>
            <w:tcW w:w="4361" w:type="dxa"/>
          </w:tcPr>
          <w:p w14:paraId="61C14D1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Health facility</w:t>
            </w:r>
          </w:p>
        </w:tc>
        <w:tc>
          <w:tcPr>
            <w:tcW w:w="1286" w:type="dxa"/>
          </w:tcPr>
          <w:p w14:paraId="4FB84A8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1,281</w:t>
            </w:r>
          </w:p>
        </w:tc>
        <w:tc>
          <w:tcPr>
            <w:tcW w:w="1596" w:type="dxa"/>
          </w:tcPr>
          <w:p w14:paraId="6C109DB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18.1</w:t>
            </w:r>
          </w:p>
        </w:tc>
        <w:tc>
          <w:tcPr>
            <w:tcW w:w="2333" w:type="dxa"/>
          </w:tcPr>
          <w:p w14:paraId="54808DC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56.1</w:t>
            </w:r>
          </w:p>
        </w:tc>
      </w:tr>
      <w:tr w:rsidR="007D1668" w:rsidRPr="005871E7" w14:paraId="0932BA9B" w14:textId="77777777" w:rsidTr="00651AAF">
        <w:tc>
          <w:tcPr>
            <w:tcW w:w="4361" w:type="dxa"/>
          </w:tcPr>
          <w:p w14:paraId="3084317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Community drug distributor to house</w:t>
            </w:r>
          </w:p>
        </w:tc>
        <w:tc>
          <w:tcPr>
            <w:tcW w:w="1286" w:type="dxa"/>
          </w:tcPr>
          <w:p w14:paraId="5A69BFD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772</w:t>
            </w:r>
          </w:p>
        </w:tc>
        <w:tc>
          <w:tcPr>
            <w:tcW w:w="1596" w:type="dxa"/>
          </w:tcPr>
          <w:p w14:paraId="25F1D51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10.9</w:t>
            </w:r>
          </w:p>
        </w:tc>
        <w:tc>
          <w:tcPr>
            <w:tcW w:w="2333" w:type="dxa"/>
          </w:tcPr>
          <w:p w14:paraId="498833A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33.8</w:t>
            </w:r>
          </w:p>
        </w:tc>
      </w:tr>
      <w:tr w:rsidR="007D1668" w:rsidRPr="005871E7" w14:paraId="40F1EB61" w14:textId="77777777" w:rsidTr="00651AAF">
        <w:tc>
          <w:tcPr>
            <w:tcW w:w="4361" w:type="dxa"/>
          </w:tcPr>
          <w:p w14:paraId="7A2D887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MNCH week outreach post</w:t>
            </w:r>
          </w:p>
        </w:tc>
        <w:tc>
          <w:tcPr>
            <w:tcW w:w="1286" w:type="dxa"/>
          </w:tcPr>
          <w:p w14:paraId="3FD984B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210</w:t>
            </w:r>
          </w:p>
        </w:tc>
        <w:tc>
          <w:tcPr>
            <w:tcW w:w="1596" w:type="dxa"/>
          </w:tcPr>
          <w:p w14:paraId="16C4422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3.0</w:t>
            </w:r>
          </w:p>
        </w:tc>
        <w:tc>
          <w:tcPr>
            <w:tcW w:w="2333" w:type="dxa"/>
          </w:tcPr>
          <w:p w14:paraId="022AD9C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9.2</w:t>
            </w:r>
          </w:p>
        </w:tc>
      </w:tr>
      <w:tr w:rsidR="007D1668" w:rsidRPr="005871E7" w14:paraId="39D720EF" w14:textId="77777777" w:rsidTr="00651AAF">
        <w:tc>
          <w:tcPr>
            <w:tcW w:w="4361" w:type="dxa"/>
          </w:tcPr>
          <w:p w14:paraId="1BDFCFA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Others</w:t>
            </w:r>
          </w:p>
        </w:tc>
        <w:tc>
          <w:tcPr>
            <w:tcW w:w="1286" w:type="dxa"/>
          </w:tcPr>
          <w:p w14:paraId="742DAA8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22</w:t>
            </w:r>
          </w:p>
        </w:tc>
        <w:tc>
          <w:tcPr>
            <w:tcW w:w="1596" w:type="dxa"/>
          </w:tcPr>
          <w:p w14:paraId="16F4091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0.3</w:t>
            </w:r>
          </w:p>
        </w:tc>
        <w:tc>
          <w:tcPr>
            <w:tcW w:w="2333" w:type="dxa"/>
          </w:tcPr>
          <w:p w14:paraId="2B0D573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1.0</w:t>
            </w:r>
          </w:p>
        </w:tc>
      </w:tr>
      <w:tr w:rsidR="007D1668" w:rsidRPr="005871E7" w14:paraId="0C5BDE95" w14:textId="77777777" w:rsidTr="00651AAF">
        <w:tc>
          <w:tcPr>
            <w:tcW w:w="4361" w:type="dxa"/>
          </w:tcPr>
          <w:p w14:paraId="0D174FC3"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NA / Missing</w:t>
            </w:r>
          </w:p>
        </w:tc>
        <w:tc>
          <w:tcPr>
            <w:tcW w:w="1286" w:type="dxa"/>
          </w:tcPr>
          <w:p w14:paraId="525BA4A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4,788</w:t>
            </w:r>
          </w:p>
        </w:tc>
        <w:tc>
          <w:tcPr>
            <w:tcW w:w="1596" w:type="dxa"/>
          </w:tcPr>
          <w:p w14:paraId="20C7CEE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67.7</w:t>
            </w:r>
          </w:p>
        </w:tc>
        <w:tc>
          <w:tcPr>
            <w:tcW w:w="2333" w:type="dxa"/>
          </w:tcPr>
          <w:p w14:paraId="2C59CEB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t>
            </w:r>
          </w:p>
        </w:tc>
      </w:tr>
    </w:tbl>
    <w:p w14:paraId="3B76B207" w14:textId="77777777" w:rsidR="007D1668" w:rsidRPr="005871E7" w:rsidRDefault="007D1668" w:rsidP="007D1668">
      <w:pPr>
        <w:pStyle w:val="Heading4"/>
        <w:spacing w:line="360" w:lineRule="auto"/>
        <w:jc w:val="both"/>
        <w:rPr>
          <w:rFonts w:ascii="Garamond" w:hAnsi="Garamond"/>
        </w:rPr>
      </w:pPr>
      <w:bookmarkStart w:id="44" w:name="muac-screening-during-last-mnchw"/>
      <w:bookmarkEnd w:id="43"/>
      <w:r w:rsidRPr="005871E7">
        <w:rPr>
          <w:rFonts w:ascii="Garamond" w:hAnsi="Garamond"/>
        </w:rPr>
        <w:t>MUAC Screening During Last MNCHW</w:t>
      </w:r>
    </w:p>
    <w:p w14:paraId="53987D59"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Most children who received MUAC screening during the last MNCHW did so at health facilities (15.3%, valid percent: 66.7%), while fewer were reached at home by community drug distributors (5.5%, valid percent: 23.9%) or at outreach posts (2.1%, valid percent: 9.2%). Missing data accounted for 77% of the records.</w:t>
      </w:r>
    </w:p>
    <w:tbl>
      <w:tblPr>
        <w:tblStyle w:val="Table"/>
        <w:tblW w:w="5000" w:type="pct"/>
        <w:tblLayout w:type="fixed"/>
        <w:tblLook w:val="0020" w:firstRow="1" w:lastRow="0" w:firstColumn="0" w:lastColumn="0" w:noHBand="0" w:noVBand="0"/>
      </w:tblPr>
      <w:tblGrid>
        <w:gridCol w:w="4361"/>
        <w:gridCol w:w="1286"/>
        <w:gridCol w:w="1596"/>
        <w:gridCol w:w="2333"/>
      </w:tblGrid>
      <w:tr w:rsidR="007D1668" w:rsidRPr="005871E7" w14:paraId="7AC73591" w14:textId="77777777" w:rsidTr="00651AAF">
        <w:trPr>
          <w:cnfStyle w:val="100000000000" w:firstRow="1" w:lastRow="0" w:firstColumn="0" w:lastColumn="0" w:oddVBand="0" w:evenVBand="0" w:oddHBand="0" w:evenHBand="0" w:firstRowFirstColumn="0" w:firstRowLastColumn="0" w:lastRowFirstColumn="0" w:lastRowLastColumn="0"/>
          <w:tblHeader/>
        </w:trPr>
        <w:tc>
          <w:tcPr>
            <w:tcW w:w="4361" w:type="dxa"/>
          </w:tcPr>
          <w:p w14:paraId="1C0DB220"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Place</w:t>
            </w:r>
          </w:p>
        </w:tc>
        <w:tc>
          <w:tcPr>
            <w:tcW w:w="1286" w:type="dxa"/>
          </w:tcPr>
          <w:p w14:paraId="54773397" w14:textId="569CD1E7" w:rsidR="007D1668" w:rsidRPr="005871E7" w:rsidRDefault="00651AAF" w:rsidP="002C3392">
            <w:pPr>
              <w:pStyle w:val="Compact"/>
              <w:spacing w:line="360" w:lineRule="auto"/>
              <w:jc w:val="both"/>
              <w:rPr>
                <w:rFonts w:ascii="Garamond" w:hAnsi="Garamond"/>
              </w:rPr>
            </w:pPr>
            <w:r>
              <w:rPr>
                <w:rFonts w:ascii="Garamond" w:hAnsi="Garamond"/>
              </w:rPr>
              <w:t>Frequency</w:t>
            </w:r>
          </w:p>
        </w:tc>
        <w:tc>
          <w:tcPr>
            <w:tcW w:w="1596" w:type="dxa"/>
          </w:tcPr>
          <w:p w14:paraId="7C030A0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Percent (%)</w:t>
            </w:r>
          </w:p>
        </w:tc>
        <w:tc>
          <w:tcPr>
            <w:tcW w:w="2333" w:type="dxa"/>
          </w:tcPr>
          <w:p w14:paraId="1BA3ECF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Valid Percent (%)</w:t>
            </w:r>
          </w:p>
        </w:tc>
      </w:tr>
      <w:tr w:rsidR="007D1668" w:rsidRPr="005871E7" w14:paraId="22E77C61" w14:textId="77777777" w:rsidTr="00651AAF">
        <w:tc>
          <w:tcPr>
            <w:tcW w:w="4361" w:type="dxa"/>
          </w:tcPr>
          <w:p w14:paraId="475EFA7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Health facility</w:t>
            </w:r>
          </w:p>
        </w:tc>
        <w:tc>
          <w:tcPr>
            <w:tcW w:w="1286" w:type="dxa"/>
          </w:tcPr>
          <w:p w14:paraId="21BB1AD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1,085</w:t>
            </w:r>
          </w:p>
        </w:tc>
        <w:tc>
          <w:tcPr>
            <w:tcW w:w="1596" w:type="dxa"/>
          </w:tcPr>
          <w:p w14:paraId="2202919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15.3</w:t>
            </w:r>
          </w:p>
        </w:tc>
        <w:tc>
          <w:tcPr>
            <w:tcW w:w="2333" w:type="dxa"/>
          </w:tcPr>
          <w:p w14:paraId="5798FB2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66.7</w:t>
            </w:r>
          </w:p>
        </w:tc>
      </w:tr>
      <w:tr w:rsidR="007D1668" w:rsidRPr="005871E7" w14:paraId="1827BC82" w14:textId="77777777" w:rsidTr="00651AAF">
        <w:tc>
          <w:tcPr>
            <w:tcW w:w="4361" w:type="dxa"/>
          </w:tcPr>
          <w:p w14:paraId="259B691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Community drug distributor to house</w:t>
            </w:r>
          </w:p>
        </w:tc>
        <w:tc>
          <w:tcPr>
            <w:tcW w:w="1286" w:type="dxa"/>
          </w:tcPr>
          <w:p w14:paraId="561B2E4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388</w:t>
            </w:r>
          </w:p>
        </w:tc>
        <w:tc>
          <w:tcPr>
            <w:tcW w:w="1596" w:type="dxa"/>
          </w:tcPr>
          <w:p w14:paraId="6BCB705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5.5</w:t>
            </w:r>
          </w:p>
        </w:tc>
        <w:tc>
          <w:tcPr>
            <w:tcW w:w="2333" w:type="dxa"/>
          </w:tcPr>
          <w:p w14:paraId="76A0F6C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23.9</w:t>
            </w:r>
          </w:p>
        </w:tc>
      </w:tr>
      <w:tr w:rsidR="007D1668" w:rsidRPr="005871E7" w14:paraId="2FC462C7" w14:textId="77777777" w:rsidTr="00651AAF">
        <w:tc>
          <w:tcPr>
            <w:tcW w:w="4361" w:type="dxa"/>
          </w:tcPr>
          <w:p w14:paraId="4777921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MNCH week outreach post</w:t>
            </w:r>
          </w:p>
        </w:tc>
        <w:tc>
          <w:tcPr>
            <w:tcW w:w="1286" w:type="dxa"/>
          </w:tcPr>
          <w:p w14:paraId="512BF4B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150</w:t>
            </w:r>
          </w:p>
        </w:tc>
        <w:tc>
          <w:tcPr>
            <w:tcW w:w="1596" w:type="dxa"/>
          </w:tcPr>
          <w:p w14:paraId="1E57D61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2.1</w:t>
            </w:r>
          </w:p>
        </w:tc>
        <w:tc>
          <w:tcPr>
            <w:tcW w:w="2333" w:type="dxa"/>
          </w:tcPr>
          <w:p w14:paraId="2ABD006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9.2</w:t>
            </w:r>
          </w:p>
        </w:tc>
      </w:tr>
      <w:tr w:rsidR="007D1668" w:rsidRPr="005871E7" w14:paraId="18ED52E6" w14:textId="77777777" w:rsidTr="00651AAF">
        <w:tc>
          <w:tcPr>
            <w:tcW w:w="4361" w:type="dxa"/>
          </w:tcPr>
          <w:p w14:paraId="1C0E487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Others</w:t>
            </w:r>
          </w:p>
        </w:tc>
        <w:tc>
          <w:tcPr>
            <w:tcW w:w="1286" w:type="dxa"/>
          </w:tcPr>
          <w:p w14:paraId="6AFE7403"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w:t>
            </w:r>
          </w:p>
        </w:tc>
        <w:tc>
          <w:tcPr>
            <w:tcW w:w="1596" w:type="dxa"/>
          </w:tcPr>
          <w:p w14:paraId="3EB58A2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0.0</w:t>
            </w:r>
          </w:p>
        </w:tc>
        <w:tc>
          <w:tcPr>
            <w:tcW w:w="2333" w:type="dxa"/>
          </w:tcPr>
          <w:p w14:paraId="5582E08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0.2</w:t>
            </w:r>
          </w:p>
        </w:tc>
      </w:tr>
      <w:tr w:rsidR="007D1668" w:rsidRPr="005871E7" w14:paraId="615165E2" w14:textId="77777777" w:rsidTr="00651AAF">
        <w:tc>
          <w:tcPr>
            <w:tcW w:w="4361" w:type="dxa"/>
          </w:tcPr>
          <w:p w14:paraId="6391F494"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NA / Missing</w:t>
            </w:r>
          </w:p>
        </w:tc>
        <w:tc>
          <w:tcPr>
            <w:tcW w:w="1286" w:type="dxa"/>
          </w:tcPr>
          <w:p w14:paraId="7160C65A"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5,447</w:t>
            </w:r>
          </w:p>
        </w:tc>
        <w:tc>
          <w:tcPr>
            <w:tcW w:w="1596" w:type="dxa"/>
          </w:tcPr>
          <w:p w14:paraId="28A65CD0"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77.0</w:t>
            </w:r>
          </w:p>
        </w:tc>
        <w:tc>
          <w:tcPr>
            <w:tcW w:w="2333" w:type="dxa"/>
          </w:tcPr>
          <w:p w14:paraId="1143639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t>
            </w:r>
          </w:p>
        </w:tc>
      </w:tr>
    </w:tbl>
    <w:p w14:paraId="0ABE85DE" w14:textId="77777777" w:rsidR="007D1668" w:rsidRPr="005871E7" w:rsidRDefault="007D1668" w:rsidP="007D1668">
      <w:pPr>
        <w:pStyle w:val="Heading4"/>
        <w:spacing w:line="360" w:lineRule="auto"/>
        <w:jc w:val="both"/>
        <w:rPr>
          <w:rFonts w:ascii="Garamond" w:hAnsi="Garamond"/>
        </w:rPr>
      </w:pPr>
      <w:bookmarkStart w:id="45" w:name="routine-immunization-1223-months"/>
      <w:bookmarkEnd w:id="44"/>
      <w:r w:rsidRPr="005871E7">
        <w:rPr>
          <w:rFonts w:ascii="Garamond" w:hAnsi="Garamond"/>
        </w:rPr>
        <w:t>Routine Immunization (12–23 months)</w:t>
      </w:r>
    </w:p>
    <w:p w14:paraId="4A22454D"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Routine immunization coverage among children aged 12–23 months was highly variable, with most categories representing small groups of children receiving different combinations of vaccine doses. The most common record indicated that 36.0% of children received only the 17th vaccine dose during the campaign. Notably, 86.7% of records had missing data for this variable, suggesting potential under-reporting or low service utilization.</w:t>
      </w:r>
    </w:p>
    <w:p w14:paraId="1FC988E5" w14:textId="77777777" w:rsidR="007D1668" w:rsidRPr="005871E7" w:rsidRDefault="007D1668" w:rsidP="007D1668">
      <w:pPr>
        <w:pStyle w:val="Heading4"/>
        <w:spacing w:line="360" w:lineRule="auto"/>
        <w:jc w:val="both"/>
        <w:rPr>
          <w:rFonts w:ascii="Garamond" w:hAnsi="Garamond"/>
        </w:rPr>
      </w:pPr>
      <w:bookmarkStart w:id="46" w:name="place-of-service-delivery"/>
      <w:bookmarkEnd w:id="45"/>
      <w:r w:rsidRPr="005871E7">
        <w:rPr>
          <w:rFonts w:ascii="Garamond" w:hAnsi="Garamond"/>
        </w:rPr>
        <w:lastRenderedPageBreak/>
        <w:t>Place of Service Delivery</w:t>
      </w:r>
    </w:p>
    <w:p w14:paraId="11957E94" w14:textId="77777777" w:rsidR="007D1668" w:rsidRPr="005871E7" w:rsidRDefault="007D1668" w:rsidP="007D1668">
      <w:pPr>
        <w:pStyle w:val="FirstParagraph"/>
        <w:spacing w:line="360" w:lineRule="auto"/>
        <w:jc w:val="both"/>
        <w:rPr>
          <w:rFonts w:ascii="Garamond" w:hAnsi="Garamond"/>
        </w:rPr>
      </w:pPr>
      <w:r w:rsidRPr="005871E7">
        <w:rPr>
          <w:rFonts w:ascii="Garamond" w:hAnsi="Garamond"/>
        </w:rPr>
        <w:t xml:space="preserve">When examining the place where children received health services during MNCHW, 13.1% of children attended a health facility, 6.9% received services at home from a community drug distributor, and 3.2% were served at an outreach post. </w:t>
      </w:r>
      <w:proofErr w:type="gramStart"/>
      <w:r w:rsidRPr="005871E7">
        <w:rPr>
          <w:rFonts w:ascii="Garamond" w:hAnsi="Garamond"/>
        </w:rPr>
        <w:t>The majority of</w:t>
      </w:r>
      <w:proofErr w:type="gramEnd"/>
      <w:r w:rsidRPr="005871E7">
        <w:rPr>
          <w:rFonts w:ascii="Garamond" w:hAnsi="Garamond"/>
        </w:rPr>
        <w:t xml:space="preserve"> records (76.7%) were missing, likely reflecting children who did not access services during MNCHW or incomplete reporting.</w:t>
      </w:r>
    </w:p>
    <w:tbl>
      <w:tblPr>
        <w:tblStyle w:val="Table"/>
        <w:tblW w:w="5000" w:type="pct"/>
        <w:tblLayout w:type="fixed"/>
        <w:tblLook w:val="0020" w:firstRow="1" w:lastRow="0" w:firstColumn="0" w:lastColumn="0" w:noHBand="0" w:noVBand="0"/>
      </w:tblPr>
      <w:tblGrid>
        <w:gridCol w:w="4503"/>
        <w:gridCol w:w="1194"/>
        <w:gridCol w:w="1576"/>
        <w:gridCol w:w="2303"/>
      </w:tblGrid>
      <w:tr w:rsidR="007D1668" w:rsidRPr="005871E7" w14:paraId="3F3199F4" w14:textId="77777777" w:rsidTr="00651AAF">
        <w:trPr>
          <w:cnfStyle w:val="100000000000" w:firstRow="1" w:lastRow="0" w:firstColumn="0" w:lastColumn="0" w:oddVBand="0" w:evenVBand="0" w:oddHBand="0" w:evenHBand="0" w:firstRowFirstColumn="0" w:firstRowLastColumn="0" w:lastRowFirstColumn="0" w:lastRowLastColumn="0"/>
          <w:tblHeader/>
        </w:trPr>
        <w:tc>
          <w:tcPr>
            <w:tcW w:w="4503" w:type="dxa"/>
          </w:tcPr>
          <w:p w14:paraId="2F25AEE3"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Place of Service Delivery</w:t>
            </w:r>
          </w:p>
        </w:tc>
        <w:tc>
          <w:tcPr>
            <w:tcW w:w="1194" w:type="dxa"/>
          </w:tcPr>
          <w:p w14:paraId="53B2FA01" w14:textId="5B14EB05" w:rsidR="007D1668" w:rsidRPr="005871E7" w:rsidRDefault="00651AAF" w:rsidP="002C3392">
            <w:pPr>
              <w:pStyle w:val="Compact"/>
              <w:spacing w:line="360" w:lineRule="auto"/>
              <w:jc w:val="both"/>
              <w:rPr>
                <w:rFonts w:ascii="Garamond" w:hAnsi="Garamond"/>
              </w:rPr>
            </w:pPr>
            <w:r>
              <w:rPr>
                <w:rFonts w:ascii="Garamond" w:hAnsi="Garamond"/>
              </w:rPr>
              <w:t>Frequency</w:t>
            </w:r>
          </w:p>
        </w:tc>
        <w:tc>
          <w:tcPr>
            <w:tcW w:w="1576" w:type="dxa"/>
          </w:tcPr>
          <w:p w14:paraId="142DD36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Percent (%)</w:t>
            </w:r>
          </w:p>
        </w:tc>
        <w:tc>
          <w:tcPr>
            <w:tcW w:w="2303" w:type="dxa"/>
          </w:tcPr>
          <w:p w14:paraId="3D13E47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Valid Percent (%)</w:t>
            </w:r>
          </w:p>
        </w:tc>
      </w:tr>
      <w:tr w:rsidR="007D1668" w:rsidRPr="005871E7" w14:paraId="32D1B055" w14:textId="77777777" w:rsidTr="00651AAF">
        <w:tc>
          <w:tcPr>
            <w:tcW w:w="4503" w:type="dxa"/>
          </w:tcPr>
          <w:p w14:paraId="6CEBF9DC"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At the health facility</w:t>
            </w:r>
          </w:p>
        </w:tc>
        <w:tc>
          <w:tcPr>
            <w:tcW w:w="1194" w:type="dxa"/>
          </w:tcPr>
          <w:p w14:paraId="33DD4D0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927</w:t>
            </w:r>
          </w:p>
        </w:tc>
        <w:tc>
          <w:tcPr>
            <w:tcW w:w="1576" w:type="dxa"/>
          </w:tcPr>
          <w:p w14:paraId="4BE1EDB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13.1</w:t>
            </w:r>
          </w:p>
        </w:tc>
        <w:tc>
          <w:tcPr>
            <w:tcW w:w="2303" w:type="dxa"/>
          </w:tcPr>
          <w:p w14:paraId="3569B1A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56.2</w:t>
            </w:r>
          </w:p>
        </w:tc>
      </w:tr>
      <w:tr w:rsidR="007D1668" w:rsidRPr="005871E7" w14:paraId="403EE101" w14:textId="77777777" w:rsidTr="00651AAF">
        <w:tc>
          <w:tcPr>
            <w:tcW w:w="4503" w:type="dxa"/>
          </w:tcPr>
          <w:p w14:paraId="3166841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Community drug distributor to house</w:t>
            </w:r>
          </w:p>
        </w:tc>
        <w:tc>
          <w:tcPr>
            <w:tcW w:w="1194" w:type="dxa"/>
          </w:tcPr>
          <w:p w14:paraId="44E6770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491</w:t>
            </w:r>
          </w:p>
        </w:tc>
        <w:tc>
          <w:tcPr>
            <w:tcW w:w="1576" w:type="dxa"/>
          </w:tcPr>
          <w:p w14:paraId="5871B12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6.9</w:t>
            </w:r>
          </w:p>
        </w:tc>
        <w:tc>
          <w:tcPr>
            <w:tcW w:w="2303" w:type="dxa"/>
          </w:tcPr>
          <w:p w14:paraId="1CA6A61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29.8</w:t>
            </w:r>
          </w:p>
        </w:tc>
      </w:tr>
      <w:tr w:rsidR="007D1668" w:rsidRPr="005871E7" w14:paraId="120667E2" w14:textId="77777777" w:rsidTr="00651AAF">
        <w:tc>
          <w:tcPr>
            <w:tcW w:w="4503" w:type="dxa"/>
          </w:tcPr>
          <w:p w14:paraId="474AA79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MNCH week outreach post</w:t>
            </w:r>
          </w:p>
        </w:tc>
        <w:tc>
          <w:tcPr>
            <w:tcW w:w="1194" w:type="dxa"/>
          </w:tcPr>
          <w:p w14:paraId="160D6AD0"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228</w:t>
            </w:r>
          </w:p>
        </w:tc>
        <w:tc>
          <w:tcPr>
            <w:tcW w:w="1576" w:type="dxa"/>
          </w:tcPr>
          <w:p w14:paraId="1BC75E3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3.2</w:t>
            </w:r>
          </w:p>
        </w:tc>
        <w:tc>
          <w:tcPr>
            <w:tcW w:w="2303" w:type="dxa"/>
          </w:tcPr>
          <w:p w14:paraId="4A75533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13.8</w:t>
            </w:r>
          </w:p>
        </w:tc>
      </w:tr>
      <w:tr w:rsidR="007D1668" w:rsidRPr="005871E7" w14:paraId="22E98E26" w14:textId="77777777" w:rsidTr="00651AAF">
        <w:tc>
          <w:tcPr>
            <w:tcW w:w="4503" w:type="dxa"/>
          </w:tcPr>
          <w:p w14:paraId="1ACC091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Others</w:t>
            </w:r>
          </w:p>
        </w:tc>
        <w:tc>
          <w:tcPr>
            <w:tcW w:w="1194" w:type="dxa"/>
          </w:tcPr>
          <w:p w14:paraId="208595D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w:t>
            </w:r>
          </w:p>
        </w:tc>
        <w:tc>
          <w:tcPr>
            <w:tcW w:w="1576" w:type="dxa"/>
          </w:tcPr>
          <w:p w14:paraId="3FD234D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0.0</w:t>
            </w:r>
          </w:p>
        </w:tc>
        <w:tc>
          <w:tcPr>
            <w:tcW w:w="2303" w:type="dxa"/>
          </w:tcPr>
          <w:p w14:paraId="7E411C5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0.1</w:t>
            </w:r>
          </w:p>
        </w:tc>
      </w:tr>
      <w:tr w:rsidR="007D1668" w:rsidRPr="005871E7" w14:paraId="6D404EB9" w14:textId="77777777" w:rsidTr="00651AAF">
        <w:tc>
          <w:tcPr>
            <w:tcW w:w="4503" w:type="dxa"/>
          </w:tcPr>
          <w:p w14:paraId="74FF1F8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NA / Missing</w:t>
            </w:r>
          </w:p>
        </w:tc>
        <w:tc>
          <w:tcPr>
            <w:tcW w:w="1194" w:type="dxa"/>
          </w:tcPr>
          <w:p w14:paraId="7A6A0C3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5,425</w:t>
            </w:r>
          </w:p>
        </w:tc>
        <w:tc>
          <w:tcPr>
            <w:tcW w:w="1576" w:type="dxa"/>
          </w:tcPr>
          <w:p w14:paraId="516433A3"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76.7</w:t>
            </w:r>
          </w:p>
        </w:tc>
        <w:tc>
          <w:tcPr>
            <w:tcW w:w="2303" w:type="dxa"/>
          </w:tcPr>
          <w:p w14:paraId="0C1DC5F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t>
            </w:r>
          </w:p>
        </w:tc>
      </w:tr>
    </w:tbl>
    <w:p w14:paraId="5718FFAC" w14:textId="77777777" w:rsidR="007D1668" w:rsidRPr="005871E7" w:rsidRDefault="007D1668" w:rsidP="007D1668">
      <w:pPr>
        <w:pStyle w:val="BodyText"/>
        <w:spacing w:line="360" w:lineRule="auto"/>
        <w:jc w:val="both"/>
        <w:rPr>
          <w:rFonts w:ascii="Garamond" w:hAnsi="Garamond"/>
        </w:rPr>
      </w:pPr>
      <w:r w:rsidRPr="005871E7">
        <w:rPr>
          <w:rFonts w:ascii="Garamond" w:hAnsi="Garamond"/>
        </w:rPr>
        <w:t>The findings reveal substantial gaps in the coverage of key child health interventions, with notable levels of missing data for several indicators. Health facilities remain the most common location for the receipt of both deworming and MUAC services, while home-based outreach by community drug distributors and MNCHW outreach posts play important but secondary roles.</w:t>
      </w:r>
    </w:p>
    <w:p w14:paraId="75155C0C" w14:textId="593FC2A6" w:rsidR="007D1668" w:rsidRPr="005871E7" w:rsidRDefault="007D1668" w:rsidP="007D1668">
      <w:pPr>
        <w:pStyle w:val="BodyText"/>
        <w:spacing w:line="360" w:lineRule="auto"/>
        <w:jc w:val="both"/>
        <w:rPr>
          <w:rFonts w:ascii="Garamond" w:hAnsi="Garamond"/>
        </w:rPr>
      </w:pPr>
      <w:r w:rsidRPr="005871E7">
        <w:rPr>
          <w:rFonts w:ascii="Garamond" w:hAnsi="Garamond"/>
          <w:b/>
          <w:bCs/>
        </w:rPr>
        <w:t>S</w:t>
      </w:r>
      <w:r>
        <w:rPr>
          <w:rFonts w:ascii="Garamond" w:hAnsi="Garamond"/>
          <w:b/>
          <w:bCs/>
        </w:rPr>
        <w:t>u</w:t>
      </w:r>
      <w:r w:rsidRPr="005871E7">
        <w:rPr>
          <w:rFonts w:ascii="Garamond" w:hAnsi="Garamond"/>
          <w:b/>
          <w:bCs/>
        </w:rPr>
        <w:t>mmary table For Children (6–59 months) Indicators</w:t>
      </w:r>
    </w:p>
    <w:tbl>
      <w:tblPr>
        <w:tblStyle w:val="Table"/>
        <w:tblW w:w="5000" w:type="pct"/>
        <w:tblLayout w:type="fixed"/>
        <w:tblLook w:val="0020" w:firstRow="1" w:lastRow="0" w:firstColumn="0" w:lastColumn="0" w:noHBand="0" w:noVBand="0"/>
      </w:tblPr>
      <w:tblGrid>
        <w:gridCol w:w="7615"/>
        <w:gridCol w:w="1038"/>
        <w:gridCol w:w="923"/>
      </w:tblGrid>
      <w:tr w:rsidR="007D1668" w:rsidRPr="005871E7" w14:paraId="2BFC4A61"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6297" w:type="dxa"/>
          </w:tcPr>
          <w:p w14:paraId="4F792E2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Indicator</w:t>
            </w:r>
          </w:p>
        </w:tc>
        <w:tc>
          <w:tcPr>
            <w:tcW w:w="858" w:type="dxa"/>
          </w:tcPr>
          <w:p w14:paraId="76EC2FF5"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Yes (%)</w:t>
            </w:r>
          </w:p>
        </w:tc>
        <w:tc>
          <w:tcPr>
            <w:tcW w:w="763" w:type="dxa"/>
          </w:tcPr>
          <w:p w14:paraId="5DF8C72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No (%)</w:t>
            </w:r>
          </w:p>
        </w:tc>
      </w:tr>
      <w:tr w:rsidR="007D1668" w:rsidRPr="005871E7" w14:paraId="6B150BA5" w14:textId="77777777" w:rsidTr="002C3392">
        <w:tc>
          <w:tcPr>
            <w:tcW w:w="6297" w:type="dxa"/>
          </w:tcPr>
          <w:p w14:paraId="08BE3BB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 xml:space="preserve">Receipt </w:t>
            </w:r>
            <w:proofErr w:type="gramStart"/>
            <w:r w:rsidRPr="005871E7">
              <w:rPr>
                <w:rFonts w:ascii="Garamond" w:hAnsi="Garamond"/>
              </w:rPr>
              <w:t>of</w:t>
            </w:r>
            <w:proofErr w:type="gramEnd"/>
            <w:r w:rsidRPr="005871E7">
              <w:rPr>
                <w:rFonts w:ascii="Garamond" w:hAnsi="Garamond"/>
              </w:rPr>
              <w:t xml:space="preserve"> VAS (in </w:t>
            </w:r>
            <w:proofErr w:type="gramStart"/>
            <w:r w:rsidRPr="005871E7">
              <w:rPr>
                <w:rFonts w:ascii="Garamond" w:hAnsi="Garamond"/>
              </w:rPr>
              <w:t>last</w:t>
            </w:r>
            <w:proofErr w:type="gramEnd"/>
            <w:r w:rsidRPr="005871E7">
              <w:rPr>
                <w:rFonts w:ascii="Garamond" w:hAnsi="Garamond"/>
              </w:rPr>
              <w:t xml:space="preserve"> 6 months)</w:t>
            </w:r>
          </w:p>
        </w:tc>
        <w:tc>
          <w:tcPr>
            <w:tcW w:w="858" w:type="dxa"/>
          </w:tcPr>
          <w:p w14:paraId="0505921B"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39.8</w:t>
            </w:r>
          </w:p>
        </w:tc>
        <w:tc>
          <w:tcPr>
            <w:tcW w:w="763" w:type="dxa"/>
          </w:tcPr>
          <w:p w14:paraId="41C2D93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60.2</w:t>
            </w:r>
          </w:p>
        </w:tc>
      </w:tr>
      <w:tr w:rsidR="007D1668" w:rsidRPr="005871E7" w14:paraId="3CC26871" w14:textId="77777777" w:rsidTr="002C3392">
        <w:tc>
          <w:tcPr>
            <w:tcW w:w="6297" w:type="dxa"/>
          </w:tcPr>
          <w:p w14:paraId="216C96E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Receipt of SMC (Cycle 1)</w:t>
            </w:r>
          </w:p>
        </w:tc>
        <w:tc>
          <w:tcPr>
            <w:tcW w:w="858" w:type="dxa"/>
          </w:tcPr>
          <w:p w14:paraId="5DE5ED5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61.3</w:t>
            </w:r>
          </w:p>
        </w:tc>
        <w:tc>
          <w:tcPr>
            <w:tcW w:w="763" w:type="dxa"/>
          </w:tcPr>
          <w:p w14:paraId="58CFF3A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38.7</w:t>
            </w:r>
          </w:p>
        </w:tc>
      </w:tr>
      <w:tr w:rsidR="007D1668" w:rsidRPr="005871E7" w14:paraId="1BAB96E5" w14:textId="77777777" w:rsidTr="002C3392">
        <w:tc>
          <w:tcPr>
            <w:tcW w:w="6297" w:type="dxa"/>
          </w:tcPr>
          <w:p w14:paraId="092D81A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Receipt of any SMC (any cycle)</w:t>
            </w:r>
          </w:p>
        </w:tc>
        <w:tc>
          <w:tcPr>
            <w:tcW w:w="858" w:type="dxa"/>
          </w:tcPr>
          <w:p w14:paraId="31D4C6C1"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t>
            </w:r>
          </w:p>
        </w:tc>
        <w:tc>
          <w:tcPr>
            <w:tcW w:w="763" w:type="dxa"/>
          </w:tcPr>
          <w:p w14:paraId="4AD9AC16"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t>
            </w:r>
          </w:p>
        </w:tc>
      </w:tr>
      <w:tr w:rsidR="007D1668" w:rsidRPr="005871E7" w14:paraId="1AF54CB9" w14:textId="77777777" w:rsidTr="002C3392">
        <w:tc>
          <w:tcPr>
            <w:tcW w:w="6297" w:type="dxa"/>
          </w:tcPr>
          <w:p w14:paraId="20C88CE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Received deworming tablet (last MNCHW, any source)</w:t>
            </w:r>
          </w:p>
        </w:tc>
        <w:tc>
          <w:tcPr>
            <w:tcW w:w="858" w:type="dxa"/>
          </w:tcPr>
          <w:p w14:paraId="48D37A13"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32.0</w:t>
            </w:r>
          </w:p>
        </w:tc>
        <w:tc>
          <w:tcPr>
            <w:tcW w:w="763" w:type="dxa"/>
          </w:tcPr>
          <w:p w14:paraId="73FF0F2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68.0</w:t>
            </w:r>
          </w:p>
        </w:tc>
      </w:tr>
      <w:tr w:rsidR="007D1668" w:rsidRPr="005871E7" w14:paraId="51E5852D" w14:textId="77777777" w:rsidTr="002C3392">
        <w:tc>
          <w:tcPr>
            <w:tcW w:w="6297" w:type="dxa"/>
          </w:tcPr>
          <w:p w14:paraId="4F8D0AE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Received MUAC screening (last MNCHW, any source)</w:t>
            </w:r>
          </w:p>
        </w:tc>
        <w:tc>
          <w:tcPr>
            <w:tcW w:w="858" w:type="dxa"/>
          </w:tcPr>
          <w:p w14:paraId="70E92F5D"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23.9</w:t>
            </w:r>
          </w:p>
        </w:tc>
        <w:tc>
          <w:tcPr>
            <w:tcW w:w="763" w:type="dxa"/>
          </w:tcPr>
          <w:p w14:paraId="3CCAF9F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76.1</w:t>
            </w:r>
          </w:p>
        </w:tc>
      </w:tr>
      <w:tr w:rsidR="007D1668" w:rsidRPr="005871E7" w14:paraId="1729DFB2" w14:textId="77777777" w:rsidTr="002C3392">
        <w:tc>
          <w:tcPr>
            <w:tcW w:w="6297" w:type="dxa"/>
          </w:tcPr>
          <w:p w14:paraId="6D32EB82"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Received routine immunization (12–23 months)</w:t>
            </w:r>
          </w:p>
        </w:tc>
        <w:tc>
          <w:tcPr>
            <w:tcW w:w="858" w:type="dxa"/>
          </w:tcPr>
          <w:p w14:paraId="5581C419"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t>
            </w:r>
          </w:p>
        </w:tc>
        <w:tc>
          <w:tcPr>
            <w:tcW w:w="763" w:type="dxa"/>
          </w:tcPr>
          <w:p w14:paraId="6E4CE63F"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w:t>
            </w:r>
          </w:p>
        </w:tc>
      </w:tr>
      <w:tr w:rsidR="007D1668" w:rsidRPr="005871E7" w14:paraId="2C5F51DE" w14:textId="77777777" w:rsidTr="002C3392">
        <w:tc>
          <w:tcPr>
            <w:tcW w:w="6297" w:type="dxa"/>
          </w:tcPr>
          <w:p w14:paraId="3C777D37"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Place of service delivery (home/health facility/outreach/other)</w:t>
            </w:r>
          </w:p>
        </w:tc>
        <w:tc>
          <w:tcPr>
            <w:tcW w:w="858" w:type="dxa"/>
          </w:tcPr>
          <w:p w14:paraId="4F0B80BE"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22.6</w:t>
            </w:r>
          </w:p>
        </w:tc>
        <w:tc>
          <w:tcPr>
            <w:tcW w:w="763" w:type="dxa"/>
          </w:tcPr>
          <w:p w14:paraId="0756EA18" w14:textId="77777777" w:rsidR="007D1668" w:rsidRPr="005871E7" w:rsidRDefault="007D1668" w:rsidP="002C3392">
            <w:pPr>
              <w:pStyle w:val="Compact"/>
              <w:spacing w:line="360" w:lineRule="auto"/>
              <w:jc w:val="both"/>
              <w:rPr>
                <w:rFonts w:ascii="Garamond" w:hAnsi="Garamond"/>
              </w:rPr>
            </w:pPr>
            <w:r w:rsidRPr="005871E7">
              <w:rPr>
                <w:rFonts w:ascii="Garamond" w:hAnsi="Garamond"/>
              </w:rPr>
              <w:t>77.04</w:t>
            </w:r>
          </w:p>
        </w:tc>
      </w:tr>
      <w:bookmarkEnd w:id="37"/>
      <w:bookmarkEnd w:id="39"/>
      <w:bookmarkEnd w:id="46"/>
    </w:tbl>
    <w:p w14:paraId="453BC229" w14:textId="77777777" w:rsidR="007D1668" w:rsidRPr="005912CC" w:rsidRDefault="007D1668" w:rsidP="005912CC">
      <w:pPr>
        <w:pStyle w:val="BodyText"/>
        <w:spacing w:line="360" w:lineRule="auto"/>
        <w:jc w:val="both"/>
        <w:rPr>
          <w:rFonts w:ascii="Garamond" w:hAnsi="Garamond"/>
          <w:lang w:val="en-GB"/>
        </w:rPr>
      </w:pPr>
    </w:p>
    <w:p w14:paraId="4757302D" w14:textId="5B7A483D" w:rsidR="00162391" w:rsidRDefault="006B151C" w:rsidP="006B151C">
      <w:pPr>
        <w:pStyle w:val="BodyText"/>
        <w:spacing w:line="360" w:lineRule="auto"/>
        <w:jc w:val="both"/>
        <w:outlineLvl w:val="1"/>
        <w:rPr>
          <w:rFonts w:ascii="Garamond" w:hAnsi="Garamond"/>
          <w:b/>
          <w:bCs/>
          <w:lang w:val="en-GB"/>
        </w:rPr>
      </w:pPr>
      <w:bookmarkStart w:id="47" w:name="_Toc201650803"/>
      <w:r>
        <w:rPr>
          <w:rFonts w:ascii="Garamond" w:hAnsi="Garamond"/>
          <w:b/>
          <w:bCs/>
          <w:lang w:val="en-GB"/>
        </w:rPr>
        <w:lastRenderedPageBreak/>
        <w:t xml:space="preserve">5.9 </w:t>
      </w:r>
      <w:r w:rsidR="00162391" w:rsidRPr="00162391">
        <w:rPr>
          <w:rFonts w:ascii="Garamond" w:hAnsi="Garamond"/>
          <w:b/>
          <w:bCs/>
          <w:lang w:val="en-GB"/>
        </w:rPr>
        <w:t>Objective 1: To determine the effect of integrating VAS with SMC on the uptake of other key MNCHW interventions</w:t>
      </w:r>
      <w:bookmarkEnd w:id="47"/>
    </w:p>
    <w:p w14:paraId="2E01807F" w14:textId="32BB6A33" w:rsidR="00B30AAE" w:rsidRPr="002C7E4D" w:rsidRDefault="006B151C" w:rsidP="006B151C">
      <w:pPr>
        <w:pStyle w:val="Heading3"/>
        <w:rPr>
          <w:rFonts w:ascii="Garamond" w:hAnsi="Garamond"/>
          <w:b/>
          <w:bCs/>
        </w:rPr>
      </w:pPr>
      <w:r>
        <w:rPr>
          <w:rFonts w:ascii="Garamond" w:hAnsi="Garamond"/>
          <w:b/>
          <w:bCs/>
        </w:rPr>
        <w:t xml:space="preserve">5.9.1 </w:t>
      </w:r>
      <w:r w:rsidR="00B30AAE" w:rsidRPr="002C7E4D">
        <w:rPr>
          <w:rFonts w:ascii="Garamond" w:hAnsi="Garamond"/>
          <w:b/>
          <w:bCs/>
        </w:rPr>
        <w:t>Primary Indicators (Children 6–59 months):</w:t>
      </w:r>
    </w:p>
    <w:p w14:paraId="76E018F8" w14:textId="0DAF7710" w:rsidR="00162391" w:rsidRPr="00162391" w:rsidRDefault="00162391" w:rsidP="00162391">
      <w:pPr>
        <w:pStyle w:val="BodyText"/>
        <w:spacing w:line="360" w:lineRule="auto"/>
        <w:jc w:val="both"/>
        <w:rPr>
          <w:rFonts w:ascii="Garamond" w:hAnsi="Garamond"/>
          <w:lang w:val="en-GB"/>
        </w:rPr>
      </w:pPr>
      <w:r w:rsidRPr="00162391">
        <w:rPr>
          <w:rFonts w:ascii="Garamond" w:hAnsi="Garamond"/>
          <w:lang w:val="en-GB"/>
        </w:rPr>
        <w:t>The integration of Vitamin A Supplementation (VAS) into Seasonal Malaria Chemoprevention (SMC) aimed to improve the uptake of other key MNCHW interventions among children and women of reproductive age. This section presents the coverage levels of four core child health interventions</w:t>
      </w:r>
      <w:r>
        <w:rPr>
          <w:rFonts w:ascii="Garamond" w:hAnsi="Garamond"/>
          <w:lang w:val="en-GB"/>
        </w:rPr>
        <w:t xml:space="preserve">, </w:t>
      </w:r>
      <w:r w:rsidRPr="00162391">
        <w:rPr>
          <w:rFonts w:ascii="Garamond" w:hAnsi="Garamond"/>
          <w:lang w:val="en-GB"/>
        </w:rPr>
        <w:t>VAS, Deworming, MUAC Screening, and Routine Immunization</w:t>
      </w:r>
      <w:r>
        <w:rPr>
          <w:rFonts w:ascii="Garamond" w:hAnsi="Garamond"/>
          <w:lang w:val="en-GB"/>
        </w:rPr>
        <w:t xml:space="preserve">, </w:t>
      </w:r>
      <w:r w:rsidRPr="00162391">
        <w:rPr>
          <w:rFonts w:ascii="Garamond" w:hAnsi="Garamond"/>
          <w:lang w:val="en-GB"/>
        </w:rPr>
        <w:t>and the results of chi-square tests conducted to assess the statistical distribution of “Yes” and “No” responses.</w:t>
      </w:r>
    </w:p>
    <w:p w14:paraId="0E2ACE25" w14:textId="77777777" w:rsidR="00162391" w:rsidRPr="00162391" w:rsidRDefault="00162391" w:rsidP="00162391">
      <w:pPr>
        <w:pStyle w:val="BodyText"/>
        <w:spacing w:line="360" w:lineRule="auto"/>
        <w:jc w:val="both"/>
        <w:rPr>
          <w:rFonts w:ascii="Garamond" w:hAnsi="Garamond"/>
          <w:lang w:val="en-GB"/>
        </w:rPr>
      </w:pPr>
      <w:r w:rsidRPr="00162391">
        <w:rPr>
          <w:rFonts w:ascii="Garamond" w:hAnsi="Garamond"/>
          <w:lang w:val="en-GB"/>
        </w:rPr>
        <w:t>Statewide coverage for Vitamin A Supplementation was 39.2% (3,161 out of 8,064 children). The chi-square test yielded a statistic of χ² = 376.31, with a p-value of &lt; 0.001, indicating a statistically significant difference between the number of children who did and did not receive Vitamin A.</w:t>
      </w:r>
    </w:p>
    <w:p w14:paraId="22464738" w14:textId="77777777" w:rsidR="003A3E9D" w:rsidRPr="005871E7" w:rsidRDefault="003A3E9D" w:rsidP="003A3E9D">
      <w:pPr>
        <w:pStyle w:val="Heading4"/>
        <w:spacing w:line="360" w:lineRule="auto"/>
        <w:jc w:val="both"/>
        <w:rPr>
          <w:rFonts w:ascii="Garamond" w:hAnsi="Garamond"/>
        </w:rPr>
      </w:pPr>
      <w:r w:rsidRPr="005871E7">
        <w:rPr>
          <w:rFonts w:ascii="Garamond" w:hAnsi="Garamond"/>
        </w:rPr>
        <w:t>a) Coverage of Deworming (Albendazole)</w:t>
      </w:r>
    </w:p>
    <w:p w14:paraId="1B331239" w14:textId="59970CC7" w:rsidR="00162391" w:rsidRDefault="00162391" w:rsidP="00162391">
      <w:pPr>
        <w:pStyle w:val="BodyText"/>
        <w:spacing w:line="360" w:lineRule="auto"/>
        <w:jc w:val="both"/>
        <w:rPr>
          <w:rFonts w:ascii="Garamond" w:hAnsi="Garamond"/>
          <w:lang w:val="en-GB"/>
        </w:rPr>
      </w:pPr>
      <w:r w:rsidRPr="00162391">
        <w:rPr>
          <w:rFonts w:ascii="Garamond" w:hAnsi="Garamond"/>
          <w:lang w:val="en-GB"/>
        </w:rPr>
        <w:t xml:space="preserve">For Deworming, the coverage was 32.7% </w:t>
      </w:r>
      <w:r w:rsidR="003A3E9D" w:rsidRPr="005871E7">
        <w:rPr>
          <w:rFonts w:ascii="Garamond" w:hAnsi="Garamond"/>
        </w:rPr>
        <w:t>of children aged 6–59 months received a deworming tablet from any source (community drug distributor, health facility, or outreach post)</w:t>
      </w:r>
      <w:r w:rsidRPr="00162391">
        <w:rPr>
          <w:rFonts w:ascii="Garamond" w:hAnsi="Garamond"/>
          <w:lang w:val="en-GB"/>
        </w:rPr>
        <w:t>, and the chi-square test returned a value of χ² = 968.06, also with a p-value &lt; 0.001. This suggests a significant imbalance in the distribution of deworming uptake, with more children not receiving the intervention.</w:t>
      </w:r>
    </w:p>
    <w:p w14:paraId="01A5F4A0" w14:textId="3B441CC3" w:rsidR="003A3E9D" w:rsidRPr="005871E7" w:rsidRDefault="00E50712" w:rsidP="003A3E9D">
      <w:pPr>
        <w:pStyle w:val="Heading4"/>
        <w:spacing w:line="360" w:lineRule="auto"/>
        <w:jc w:val="both"/>
        <w:rPr>
          <w:rFonts w:ascii="Garamond" w:hAnsi="Garamond"/>
        </w:rPr>
      </w:pPr>
      <w:r>
        <w:rPr>
          <w:rFonts w:ascii="Garamond" w:hAnsi="Garamond"/>
        </w:rPr>
        <w:t>b</w:t>
      </w:r>
      <w:r w:rsidR="003A3E9D" w:rsidRPr="005871E7">
        <w:rPr>
          <w:rFonts w:ascii="Garamond" w:hAnsi="Garamond"/>
        </w:rPr>
        <w:t>) Coverage of MUAC Screening</w:t>
      </w:r>
    </w:p>
    <w:p w14:paraId="114ED1B4" w14:textId="3C85D393" w:rsidR="00162391" w:rsidRDefault="00162391" w:rsidP="00162391">
      <w:pPr>
        <w:pStyle w:val="BodyText"/>
        <w:spacing w:line="360" w:lineRule="auto"/>
        <w:jc w:val="both"/>
        <w:rPr>
          <w:rFonts w:ascii="Garamond" w:hAnsi="Garamond"/>
          <w:lang w:val="en-GB"/>
        </w:rPr>
      </w:pPr>
      <w:r w:rsidRPr="00162391">
        <w:rPr>
          <w:rFonts w:ascii="Garamond" w:hAnsi="Garamond"/>
          <w:lang w:val="en-GB"/>
        </w:rPr>
        <w:t xml:space="preserve">The MUAC Screening results showed the lowest coverage at 22.7% </w:t>
      </w:r>
      <w:r w:rsidR="003A3E9D" w:rsidRPr="005871E7">
        <w:rPr>
          <w:rFonts w:ascii="Garamond" w:hAnsi="Garamond"/>
        </w:rPr>
        <w:t>among children aged 6–59 months, with most screenings occurring at health facilities (15.3% of all children, or 66.7% of valid responses)</w:t>
      </w:r>
      <w:r w:rsidRPr="00162391">
        <w:rPr>
          <w:rFonts w:ascii="Garamond" w:hAnsi="Garamond"/>
          <w:lang w:val="en-GB"/>
        </w:rPr>
        <w:t>.</w:t>
      </w:r>
      <w:r w:rsidR="003A3E9D">
        <w:rPr>
          <w:rFonts w:ascii="Garamond" w:hAnsi="Garamond"/>
          <w:lang w:val="en-GB"/>
        </w:rPr>
        <w:t xml:space="preserve"> </w:t>
      </w:r>
      <w:r w:rsidR="003A3E9D" w:rsidRPr="005871E7">
        <w:rPr>
          <w:rFonts w:ascii="Garamond" w:hAnsi="Garamond"/>
        </w:rPr>
        <w:t xml:space="preserve">Home and outreach screening rates were much lower. Data </w:t>
      </w:r>
      <w:proofErr w:type="gramStart"/>
      <w:r w:rsidR="003A3E9D" w:rsidRPr="005871E7">
        <w:rPr>
          <w:rFonts w:ascii="Garamond" w:hAnsi="Garamond"/>
        </w:rPr>
        <w:t>were</w:t>
      </w:r>
      <w:proofErr w:type="gramEnd"/>
      <w:r w:rsidR="003A3E9D" w:rsidRPr="005871E7">
        <w:rPr>
          <w:rFonts w:ascii="Garamond" w:hAnsi="Garamond"/>
        </w:rPr>
        <w:t xml:space="preserve"> missing for approximately 77% of children.</w:t>
      </w:r>
      <w:r w:rsidRPr="00162391">
        <w:rPr>
          <w:rFonts w:ascii="Garamond" w:hAnsi="Garamond"/>
          <w:lang w:val="en-GB"/>
        </w:rPr>
        <w:t xml:space="preserve"> The chi-square test for this indicator produced a very high statistic of χ² = 2,405.16, with a p-value &lt; 0.001, again indicating a statistically significant difference between children who were screened and those who were not.</w:t>
      </w:r>
    </w:p>
    <w:p w14:paraId="665950A0" w14:textId="57E1B92A" w:rsidR="00E50712" w:rsidRPr="005871E7" w:rsidRDefault="00E50712" w:rsidP="00E50712">
      <w:pPr>
        <w:pStyle w:val="Heading4"/>
        <w:spacing w:line="360" w:lineRule="auto"/>
        <w:jc w:val="both"/>
        <w:rPr>
          <w:rFonts w:ascii="Garamond" w:hAnsi="Garamond"/>
        </w:rPr>
      </w:pPr>
      <w:r>
        <w:rPr>
          <w:rFonts w:ascii="Garamond" w:hAnsi="Garamond"/>
        </w:rPr>
        <w:t>c</w:t>
      </w:r>
      <w:r w:rsidRPr="005871E7">
        <w:rPr>
          <w:rFonts w:ascii="Garamond" w:hAnsi="Garamond"/>
        </w:rPr>
        <w:t>) Coverage of Routine Immunization (Children 12–23 Months)</w:t>
      </w:r>
    </w:p>
    <w:p w14:paraId="17CF9453" w14:textId="7DDFB87B" w:rsidR="00162391" w:rsidRPr="00162391" w:rsidRDefault="00162391" w:rsidP="00162391">
      <w:pPr>
        <w:pStyle w:val="BodyText"/>
        <w:spacing w:line="360" w:lineRule="auto"/>
        <w:jc w:val="both"/>
        <w:rPr>
          <w:rFonts w:ascii="Garamond" w:hAnsi="Garamond"/>
          <w:lang w:val="en-GB"/>
        </w:rPr>
      </w:pPr>
      <w:r w:rsidRPr="00162391">
        <w:rPr>
          <w:rFonts w:ascii="Garamond" w:hAnsi="Garamond"/>
          <w:lang w:val="en-GB"/>
        </w:rPr>
        <w:t xml:space="preserve">In contrast, Routine Immunization had the highest reported coverage at 66.8% (438 out of 656 children aged 12–23 months). The corresponding chi-square test yielded χ² = 73.78, with a p-value &lt; 0.001, confirming a statistically significant distribution in </w:t>
      </w:r>
      <w:proofErr w:type="spellStart"/>
      <w:r w:rsidRPr="00162391">
        <w:rPr>
          <w:rFonts w:ascii="Garamond" w:hAnsi="Garamond"/>
          <w:lang w:val="en-GB"/>
        </w:rPr>
        <w:t>favor</w:t>
      </w:r>
      <w:proofErr w:type="spellEnd"/>
      <w:r w:rsidRPr="00162391">
        <w:rPr>
          <w:rFonts w:ascii="Garamond" w:hAnsi="Garamond"/>
          <w:lang w:val="en-GB"/>
        </w:rPr>
        <w:t xml:space="preserve"> of immunization uptake.</w:t>
      </w:r>
    </w:p>
    <w:p w14:paraId="1179F4E5" w14:textId="1F775A96" w:rsidR="00162391" w:rsidRPr="00162391" w:rsidRDefault="00162391" w:rsidP="00162391">
      <w:pPr>
        <w:pStyle w:val="BodyText"/>
        <w:spacing w:line="360" w:lineRule="auto"/>
        <w:jc w:val="both"/>
        <w:rPr>
          <w:rFonts w:ascii="Garamond" w:hAnsi="Garamond"/>
          <w:lang w:val="en-GB"/>
        </w:rPr>
      </w:pPr>
      <w:r w:rsidRPr="00162391">
        <w:rPr>
          <w:rFonts w:ascii="Garamond" w:hAnsi="Garamond"/>
          <w:lang w:val="en-GB"/>
        </w:rPr>
        <w:lastRenderedPageBreak/>
        <w:t>The chi-square tests demonstrate that uptake is not evenly distributed, and the coverage levels vary considerably across intervention types.</w:t>
      </w:r>
    </w:p>
    <w:p w14:paraId="435B7DEE" w14:textId="77777777" w:rsidR="00162391" w:rsidRPr="00162391" w:rsidRDefault="00162391" w:rsidP="00162391">
      <w:pPr>
        <w:pStyle w:val="BodyText"/>
        <w:spacing w:line="360" w:lineRule="auto"/>
        <w:jc w:val="both"/>
        <w:rPr>
          <w:rFonts w:ascii="Garamond" w:hAnsi="Garamond"/>
          <w:b/>
          <w:bCs/>
          <w:lang w:val="en-GB"/>
        </w:rPr>
      </w:pPr>
      <w:r w:rsidRPr="00162391">
        <w:rPr>
          <w:rFonts w:ascii="Garamond" w:hAnsi="Garamond"/>
          <w:b/>
          <w:bCs/>
          <w:lang w:val="en-GB"/>
        </w:rPr>
        <w:t>Table 5.1: Summary of MNCHW Intervention Coverage and Chi-square Test Results</w:t>
      </w:r>
    </w:p>
    <w:tbl>
      <w:tblPr>
        <w:tblStyle w:val="PlainTable5"/>
        <w:tblW w:w="0" w:type="auto"/>
        <w:tblLook w:val="04A0" w:firstRow="1" w:lastRow="0" w:firstColumn="1" w:lastColumn="0" w:noHBand="0" w:noVBand="1"/>
      </w:tblPr>
      <w:tblGrid>
        <w:gridCol w:w="2369"/>
        <w:gridCol w:w="1817"/>
        <w:gridCol w:w="719"/>
        <w:gridCol w:w="719"/>
        <w:gridCol w:w="1550"/>
        <w:gridCol w:w="1447"/>
        <w:gridCol w:w="955"/>
      </w:tblGrid>
      <w:tr w:rsidR="003661E0" w:rsidRPr="00162391" w14:paraId="6A355883" w14:textId="77777777" w:rsidTr="003661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7FAFDA3" w14:textId="77777777" w:rsidR="003661E0" w:rsidRPr="00162391" w:rsidRDefault="003661E0" w:rsidP="00162391">
            <w:pPr>
              <w:pStyle w:val="BodyText"/>
              <w:spacing w:line="360" w:lineRule="auto"/>
              <w:jc w:val="both"/>
              <w:rPr>
                <w:rFonts w:ascii="Garamond" w:hAnsi="Garamond"/>
                <w:b/>
                <w:bCs/>
                <w:lang w:val="en-GB"/>
              </w:rPr>
            </w:pPr>
            <w:r w:rsidRPr="00162391">
              <w:rPr>
                <w:rFonts w:ascii="Garamond" w:hAnsi="Garamond"/>
                <w:b/>
                <w:bCs/>
                <w:lang w:val="en-GB"/>
              </w:rPr>
              <w:t>Intervention</w:t>
            </w:r>
          </w:p>
        </w:tc>
        <w:tc>
          <w:tcPr>
            <w:tcW w:w="0" w:type="auto"/>
            <w:hideMark/>
          </w:tcPr>
          <w:p w14:paraId="62E11873" w14:textId="77777777"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Total Responses</w:t>
            </w:r>
          </w:p>
        </w:tc>
        <w:tc>
          <w:tcPr>
            <w:tcW w:w="0" w:type="auto"/>
            <w:hideMark/>
          </w:tcPr>
          <w:p w14:paraId="7073E37E" w14:textId="226136EF"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 xml:space="preserve">Yes </w:t>
            </w:r>
          </w:p>
        </w:tc>
        <w:tc>
          <w:tcPr>
            <w:tcW w:w="0" w:type="auto"/>
            <w:hideMark/>
          </w:tcPr>
          <w:p w14:paraId="28EB524F" w14:textId="4DB9EF67"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 xml:space="preserve">No </w:t>
            </w:r>
          </w:p>
        </w:tc>
        <w:tc>
          <w:tcPr>
            <w:tcW w:w="0" w:type="auto"/>
            <w:hideMark/>
          </w:tcPr>
          <w:p w14:paraId="66C16C26" w14:textId="77777777"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Coverage (%)</w:t>
            </w:r>
          </w:p>
        </w:tc>
        <w:tc>
          <w:tcPr>
            <w:tcW w:w="0" w:type="auto"/>
            <w:hideMark/>
          </w:tcPr>
          <w:p w14:paraId="255EEAA3" w14:textId="77777777"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Chi² Statistic</w:t>
            </w:r>
          </w:p>
        </w:tc>
        <w:tc>
          <w:tcPr>
            <w:tcW w:w="0" w:type="auto"/>
            <w:hideMark/>
          </w:tcPr>
          <w:p w14:paraId="455C3A38" w14:textId="77777777"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P-value</w:t>
            </w:r>
          </w:p>
        </w:tc>
      </w:tr>
      <w:tr w:rsidR="003661E0" w:rsidRPr="00162391" w14:paraId="3F69ED39" w14:textId="77777777" w:rsidTr="0036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9190CE" w14:textId="77777777" w:rsidR="003661E0" w:rsidRPr="00162391" w:rsidRDefault="003661E0" w:rsidP="00162391">
            <w:pPr>
              <w:pStyle w:val="BodyText"/>
              <w:spacing w:line="360" w:lineRule="auto"/>
              <w:jc w:val="both"/>
              <w:rPr>
                <w:rFonts w:ascii="Garamond" w:hAnsi="Garamond"/>
                <w:lang w:val="en-GB"/>
              </w:rPr>
            </w:pPr>
            <w:r w:rsidRPr="00162391">
              <w:rPr>
                <w:rFonts w:ascii="Garamond" w:hAnsi="Garamond"/>
                <w:lang w:val="en-GB"/>
              </w:rPr>
              <w:t>Vitamin A Supplementation</w:t>
            </w:r>
          </w:p>
        </w:tc>
        <w:tc>
          <w:tcPr>
            <w:tcW w:w="0" w:type="auto"/>
            <w:hideMark/>
          </w:tcPr>
          <w:p w14:paraId="3A6CE1F0"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8,064</w:t>
            </w:r>
          </w:p>
        </w:tc>
        <w:tc>
          <w:tcPr>
            <w:tcW w:w="0" w:type="auto"/>
            <w:hideMark/>
          </w:tcPr>
          <w:p w14:paraId="7E248961"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3,161</w:t>
            </w:r>
          </w:p>
        </w:tc>
        <w:tc>
          <w:tcPr>
            <w:tcW w:w="0" w:type="auto"/>
            <w:hideMark/>
          </w:tcPr>
          <w:p w14:paraId="5AB73C3B"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4,903</w:t>
            </w:r>
          </w:p>
        </w:tc>
        <w:tc>
          <w:tcPr>
            <w:tcW w:w="0" w:type="auto"/>
            <w:hideMark/>
          </w:tcPr>
          <w:p w14:paraId="428E9626"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39.2</w:t>
            </w:r>
          </w:p>
        </w:tc>
        <w:tc>
          <w:tcPr>
            <w:tcW w:w="0" w:type="auto"/>
            <w:hideMark/>
          </w:tcPr>
          <w:p w14:paraId="73230D2A"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376.31</w:t>
            </w:r>
          </w:p>
        </w:tc>
        <w:tc>
          <w:tcPr>
            <w:tcW w:w="0" w:type="auto"/>
            <w:hideMark/>
          </w:tcPr>
          <w:p w14:paraId="22BCEA89"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&lt; 0.001</w:t>
            </w:r>
          </w:p>
        </w:tc>
      </w:tr>
      <w:tr w:rsidR="003661E0" w:rsidRPr="00162391" w14:paraId="3F45357A" w14:textId="77777777" w:rsidTr="003661E0">
        <w:tc>
          <w:tcPr>
            <w:cnfStyle w:val="001000000000" w:firstRow="0" w:lastRow="0" w:firstColumn="1" w:lastColumn="0" w:oddVBand="0" w:evenVBand="0" w:oddHBand="0" w:evenHBand="0" w:firstRowFirstColumn="0" w:firstRowLastColumn="0" w:lastRowFirstColumn="0" w:lastRowLastColumn="0"/>
            <w:tcW w:w="0" w:type="auto"/>
            <w:hideMark/>
          </w:tcPr>
          <w:p w14:paraId="5DBE85A3" w14:textId="77777777" w:rsidR="003661E0" w:rsidRPr="00162391" w:rsidRDefault="003661E0" w:rsidP="00162391">
            <w:pPr>
              <w:pStyle w:val="BodyText"/>
              <w:spacing w:line="360" w:lineRule="auto"/>
              <w:jc w:val="both"/>
              <w:rPr>
                <w:rFonts w:ascii="Garamond" w:hAnsi="Garamond"/>
                <w:lang w:val="en-GB"/>
              </w:rPr>
            </w:pPr>
            <w:r w:rsidRPr="00162391">
              <w:rPr>
                <w:rFonts w:ascii="Garamond" w:hAnsi="Garamond"/>
                <w:lang w:val="en-GB"/>
              </w:rPr>
              <w:t>Deworming</w:t>
            </w:r>
          </w:p>
        </w:tc>
        <w:tc>
          <w:tcPr>
            <w:tcW w:w="0" w:type="auto"/>
            <w:hideMark/>
          </w:tcPr>
          <w:p w14:paraId="7119A790"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8,064</w:t>
            </w:r>
          </w:p>
        </w:tc>
        <w:tc>
          <w:tcPr>
            <w:tcW w:w="0" w:type="auto"/>
            <w:hideMark/>
          </w:tcPr>
          <w:p w14:paraId="003E27FE"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2,635</w:t>
            </w:r>
          </w:p>
        </w:tc>
        <w:tc>
          <w:tcPr>
            <w:tcW w:w="0" w:type="auto"/>
            <w:hideMark/>
          </w:tcPr>
          <w:p w14:paraId="6B90E54E"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5,429</w:t>
            </w:r>
          </w:p>
        </w:tc>
        <w:tc>
          <w:tcPr>
            <w:tcW w:w="0" w:type="auto"/>
            <w:hideMark/>
          </w:tcPr>
          <w:p w14:paraId="30B9DDB8"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32.7</w:t>
            </w:r>
          </w:p>
        </w:tc>
        <w:tc>
          <w:tcPr>
            <w:tcW w:w="0" w:type="auto"/>
            <w:hideMark/>
          </w:tcPr>
          <w:p w14:paraId="657BB1C9"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968.06</w:t>
            </w:r>
          </w:p>
        </w:tc>
        <w:tc>
          <w:tcPr>
            <w:tcW w:w="0" w:type="auto"/>
            <w:hideMark/>
          </w:tcPr>
          <w:p w14:paraId="556052F8"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&lt; 0.001</w:t>
            </w:r>
          </w:p>
        </w:tc>
      </w:tr>
      <w:tr w:rsidR="003661E0" w:rsidRPr="00162391" w14:paraId="30F6E6B1" w14:textId="77777777" w:rsidTr="0036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14C61" w14:textId="77777777" w:rsidR="003661E0" w:rsidRPr="00162391" w:rsidRDefault="003661E0" w:rsidP="00162391">
            <w:pPr>
              <w:pStyle w:val="BodyText"/>
              <w:spacing w:line="360" w:lineRule="auto"/>
              <w:jc w:val="both"/>
              <w:rPr>
                <w:rFonts w:ascii="Garamond" w:hAnsi="Garamond"/>
                <w:lang w:val="en-GB"/>
              </w:rPr>
            </w:pPr>
            <w:r w:rsidRPr="00162391">
              <w:rPr>
                <w:rFonts w:ascii="Garamond" w:hAnsi="Garamond"/>
                <w:lang w:val="en-GB"/>
              </w:rPr>
              <w:t>MUAC Screening</w:t>
            </w:r>
          </w:p>
        </w:tc>
        <w:tc>
          <w:tcPr>
            <w:tcW w:w="0" w:type="auto"/>
            <w:hideMark/>
          </w:tcPr>
          <w:p w14:paraId="617C14E1"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8,064</w:t>
            </w:r>
          </w:p>
        </w:tc>
        <w:tc>
          <w:tcPr>
            <w:tcW w:w="0" w:type="auto"/>
            <w:hideMark/>
          </w:tcPr>
          <w:p w14:paraId="7039EE4D"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1,830</w:t>
            </w:r>
          </w:p>
        </w:tc>
        <w:tc>
          <w:tcPr>
            <w:tcW w:w="0" w:type="auto"/>
            <w:hideMark/>
          </w:tcPr>
          <w:p w14:paraId="7977F5C2"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6,234</w:t>
            </w:r>
          </w:p>
        </w:tc>
        <w:tc>
          <w:tcPr>
            <w:tcW w:w="0" w:type="auto"/>
            <w:hideMark/>
          </w:tcPr>
          <w:p w14:paraId="0A1C0200"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22.7</w:t>
            </w:r>
          </w:p>
        </w:tc>
        <w:tc>
          <w:tcPr>
            <w:tcW w:w="0" w:type="auto"/>
            <w:hideMark/>
          </w:tcPr>
          <w:p w14:paraId="6F856A7A"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2,405.16</w:t>
            </w:r>
          </w:p>
        </w:tc>
        <w:tc>
          <w:tcPr>
            <w:tcW w:w="0" w:type="auto"/>
            <w:hideMark/>
          </w:tcPr>
          <w:p w14:paraId="6C52B82A"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&lt; 0.001</w:t>
            </w:r>
          </w:p>
        </w:tc>
      </w:tr>
      <w:tr w:rsidR="003661E0" w:rsidRPr="00162391" w14:paraId="557A805D" w14:textId="77777777" w:rsidTr="003661E0">
        <w:tc>
          <w:tcPr>
            <w:cnfStyle w:val="001000000000" w:firstRow="0" w:lastRow="0" w:firstColumn="1" w:lastColumn="0" w:oddVBand="0" w:evenVBand="0" w:oddHBand="0" w:evenHBand="0" w:firstRowFirstColumn="0" w:firstRowLastColumn="0" w:lastRowFirstColumn="0" w:lastRowLastColumn="0"/>
            <w:tcW w:w="0" w:type="auto"/>
            <w:hideMark/>
          </w:tcPr>
          <w:p w14:paraId="0AFCD232" w14:textId="77777777" w:rsidR="003661E0" w:rsidRPr="00162391" w:rsidRDefault="003661E0" w:rsidP="00162391">
            <w:pPr>
              <w:pStyle w:val="BodyText"/>
              <w:spacing w:line="360" w:lineRule="auto"/>
              <w:jc w:val="both"/>
              <w:rPr>
                <w:rFonts w:ascii="Garamond" w:hAnsi="Garamond"/>
                <w:lang w:val="en-GB"/>
              </w:rPr>
            </w:pPr>
            <w:r w:rsidRPr="00162391">
              <w:rPr>
                <w:rFonts w:ascii="Garamond" w:hAnsi="Garamond"/>
                <w:lang w:val="en-GB"/>
              </w:rPr>
              <w:t>Routine Immunization</w:t>
            </w:r>
          </w:p>
        </w:tc>
        <w:tc>
          <w:tcPr>
            <w:tcW w:w="0" w:type="auto"/>
            <w:hideMark/>
          </w:tcPr>
          <w:p w14:paraId="20187CFE"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656</w:t>
            </w:r>
          </w:p>
        </w:tc>
        <w:tc>
          <w:tcPr>
            <w:tcW w:w="0" w:type="auto"/>
            <w:hideMark/>
          </w:tcPr>
          <w:p w14:paraId="667FD1EC"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438</w:t>
            </w:r>
          </w:p>
        </w:tc>
        <w:tc>
          <w:tcPr>
            <w:tcW w:w="0" w:type="auto"/>
            <w:hideMark/>
          </w:tcPr>
          <w:p w14:paraId="50A526AC"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218</w:t>
            </w:r>
          </w:p>
        </w:tc>
        <w:tc>
          <w:tcPr>
            <w:tcW w:w="0" w:type="auto"/>
            <w:hideMark/>
          </w:tcPr>
          <w:p w14:paraId="6AC96973"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66.8</w:t>
            </w:r>
          </w:p>
        </w:tc>
        <w:tc>
          <w:tcPr>
            <w:tcW w:w="0" w:type="auto"/>
            <w:hideMark/>
          </w:tcPr>
          <w:p w14:paraId="4BDF603B"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73.78</w:t>
            </w:r>
          </w:p>
        </w:tc>
        <w:tc>
          <w:tcPr>
            <w:tcW w:w="0" w:type="auto"/>
            <w:hideMark/>
          </w:tcPr>
          <w:p w14:paraId="537B9039"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&lt; 0.001</w:t>
            </w:r>
          </w:p>
        </w:tc>
      </w:tr>
    </w:tbl>
    <w:p w14:paraId="7D4761C4" w14:textId="77777777" w:rsidR="00C145E6" w:rsidRDefault="00C145E6" w:rsidP="00100F11">
      <w:pPr>
        <w:pStyle w:val="BodyText"/>
        <w:spacing w:line="360" w:lineRule="auto"/>
        <w:jc w:val="both"/>
        <w:rPr>
          <w:rFonts w:ascii="Garamond" w:hAnsi="Garamond"/>
          <w:lang w:val="en-GB"/>
        </w:rPr>
      </w:pPr>
    </w:p>
    <w:p w14:paraId="631D422B" w14:textId="22B89829" w:rsidR="003661E0" w:rsidRPr="005871E7" w:rsidRDefault="003661E0" w:rsidP="003661E0">
      <w:pPr>
        <w:pStyle w:val="Heading2"/>
        <w:spacing w:line="360" w:lineRule="auto"/>
        <w:jc w:val="both"/>
        <w:rPr>
          <w:rFonts w:ascii="Garamond" w:hAnsi="Garamond"/>
        </w:rPr>
      </w:pPr>
      <w:bookmarkStart w:id="48" w:name="_Toc201650804"/>
      <w:r w:rsidRPr="005871E7">
        <w:rPr>
          <w:rFonts w:ascii="Garamond" w:hAnsi="Garamond"/>
        </w:rPr>
        <w:t>Coverage of Child Health Interventions Across LGAs</w:t>
      </w:r>
      <w:bookmarkEnd w:id="48"/>
    </w:p>
    <w:p w14:paraId="7480562B" w14:textId="77777777" w:rsidR="003661E0" w:rsidRPr="005871E7" w:rsidRDefault="003661E0" w:rsidP="003661E0">
      <w:pPr>
        <w:pStyle w:val="FirstParagraph"/>
        <w:spacing w:line="360" w:lineRule="auto"/>
        <w:jc w:val="both"/>
        <w:rPr>
          <w:rFonts w:ascii="Garamond" w:hAnsi="Garamond"/>
        </w:rPr>
      </w:pPr>
      <w:r w:rsidRPr="005871E7">
        <w:rPr>
          <w:rFonts w:ascii="Garamond" w:hAnsi="Garamond"/>
        </w:rPr>
        <w:t>The presented table summarizes the coverage rates of four essential child health interventions, Vitamin A Supplementation (VAS), Deworming, Mid-Upper Arm Circumference (MUAC) screening, and Immunization, across 20 Local Government Areas (LGAs) in Bauchi State.</w:t>
      </w:r>
    </w:p>
    <w:p w14:paraId="7A7694B2"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 xml:space="preserve">A notable feature of the data is the marked variability in coverage rates between LGAs for all four interventions. Coverage of VAS ranges widely, from as low as 12% in </w:t>
      </w:r>
      <w:proofErr w:type="spellStart"/>
      <w:r w:rsidRPr="005871E7">
        <w:rPr>
          <w:rFonts w:ascii="Garamond" w:hAnsi="Garamond"/>
        </w:rPr>
        <w:t>Gamawa</w:t>
      </w:r>
      <w:proofErr w:type="spellEnd"/>
      <w:r w:rsidRPr="005871E7">
        <w:rPr>
          <w:rFonts w:ascii="Garamond" w:hAnsi="Garamond"/>
        </w:rPr>
        <w:t xml:space="preserve"> to as high as 67% in </w:t>
      </w:r>
      <w:proofErr w:type="spellStart"/>
      <w:r w:rsidRPr="005871E7">
        <w:rPr>
          <w:rFonts w:ascii="Garamond" w:hAnsi="Garamond"/>
        </w:rPr>
        <w:t>Darazo</w:t>
      </w:r>
      <w:proofErr w:type="spellEnd"/>
      <w:r w:rsidRPr="005871E7">
        <w:rPr>
          <w:rFonts w:ascii="Garamond" w:hAnsi="Garamond"/>
        </w:rPr>
        <w:t xml:space="preserve">. Several LGAs, such as </w:t>
      </w:r>
      <w:proofErr w:type="spellStart"/>
      <w:r w:rsidRPr="005871E7">
        <w:rPr>
          <w:rFonts w:ascii="Garamond" w:hAnsi="Garamond"/>
        </w:rPr>
        <w:t>Darazo</w:t>
      </w:r>
      <w:proofErr w:type="spellEnd"/>
      <w:r w:rsidRPr="005871E7">
        <w:rPr>
          <w:rFonts w:ascii="Garamond" w:hAnsi="Garamond"/>
        </w:rPr>
        <w:t xml:space="preserve">, Dass, </w:t>
      </w:r>
      <w:proofErr w:type="spellStart"/>
      <w:r w:rsidRPr="005871E7">
        <w:rPr>
          <w:rFonts w:ascii="Garamond" w:hAnsi="Garamond"/>
        </w:rPr>
        <w:t>Giade</w:t>
      </w:r>
      <w:proofErr w:type="spellEnd"/>
      <w:r w:rsidRPr="005871E7">
        <w:rPr>
          <w:rFonts w:ascii="Garamond" w:hAnsi="Garamond"/>
        </w:rPr>
        <w:t xml:space="preserve">, Toro, and Bauchi, exceed 50% VAS coverage, whereas LGAs like </w:t>
      </w:r>
      <w:proofErr w:type="spellStart"/>
      <w:r w:rsidRPr="005871E7">
        <w:rPr>
          <w:rFonts w:ascii="Garamond" w:hAnsi="Garamond"/>
        </w:rPr>
        <w:t>Gamawa</w:t>
      </w:r>
      <w:proofErr w:type="spellEnd"/>
      <w:r w:rsidRPr="005871E7">
        <w:rPr>
          <w:rFonts w:ascii="Garamond" w:hAnsi="Garamond"/>
        </w:rPr>
        <w:t xml:space="preserve">, </w:t>
      </w:r>
      <w:proofErr w:type="spellStart"/>
      <w:r w:rsidRPr="005871E7">
        <w:rPr>
          <w:rFonts w:ascii="Garamond" w:hAnsi="Garamond"/>
        </w:rPr>
        <w:t>Katagum</w:t>
      </w:r>
      <w:proofErr w:type="spellEnd"/>
      <w:r w:rsidRPr="005871E7">
        <w:rPr>
          <w:rFonts w:ascii="Garamond" w:hAnsi="Garamond"/>
        </w:rPr>
        <w:t xml:space="preserve">, Shira, and </w:t>
      </w:r>
      <w:proofErr w:type="spellStart"/>
      <w:r w:rsidRPr="005871E7">
        <w:rPr>
          <w:rFonts w:ascii="Garamond" w:hAnsi="Garamond"/>
        </w:rPr>
        <w:t>Jama’are</w:t>
      </w:r>
      <w:proofErr w:type="spellEnd"/>
      <w:r w:rsidRPr="005871E7">
        <w:rPr>
          <w:rFonts w:ascii="Garamond" w:hAnsi="Garamond"/>
        </w:rPr>
        <w:t xml:space="preserve"> report coverage rates below 30%. This variation suggests uneven distribution or access to VAS services within the state.</w:t>
      </w:r>
    </w:p>
    <w:p w14:paraId="32337237"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 xml:space="preserve">Deworming coverage follows a broadly similar pattern to VAS, with rates highest in </w:t>
      </w:r>
      <w:proofErr w:type="spellStart"/>
      <w:r w:rsidRPr="005871E7">
        <w:rPr>
          <w:rFonts w:ascii="Garamond" w:hAnsi="Garamond"/>
        </w:rPr>
        <w:t>Darazo</w:t>
      </w:r>
      <w:proofErr w:type="spellEnd"/>
      <w:r w:rsidRPr="005871E7">
        <w:rPr>
          <w:rFonts w:ascii="Garamond" w:hAnsi="Garamond"/>
        </w:rPr>
        <w:t xml:space="preserve"> (57%), Bauchi (41%), and </w:t>
      </w:r>
      <w:proofErr w:type="spellStart"/>
      <w:r w:rsidRPr="005871E7">
        <w:rPr>
          <w:rFonts w:ascii="Garamond" w:hAnsi="Garamond"/>
        </w:rPr>
        <w:t>Bogoro</w:t>
      </w:r>
      <w:proofErr w:type="spellEnd"/>
      <w:r w:rsidRPr="005871E7">
        <w:rPr>
          <w:rFonts w:ascii="Garamond" w:hAnsi="Garamond"/>
        </w:rPr>
        <w:t xml:space="preserve"> (41%), and lowest in </w:t>
      </w:r>
      <w:proofErr w:type="spellStart"/>
      <w:r w:rsidRPr="005871E7">
        <w:rPr>
          <w:rFonts w:ascii="Garamond" w:hAnsi="Garamond"/>
        </w:rPr>
        <w:t>Katagum</w:t>
      </w:r>
      <w:proofErr w:type="spellEnd"/>
      <w:r w:rsidRPr="005871E7">
        <w:rPr>
          <w:rFonts w:ascii="Garamond" w:hAnsi="Garamond"/>
        </w:rPr>
        <w:t xml:space="preserve"> (11%), </w:t>
      </w:r>
      <w:proofErr w:type="spellStart"/>
      <w:r w:rsidRPr="005871E7">
        <w:rPr>
          <w:rFonts w:ascii="Garamond" w:hAnsi="Garamond"/>
        </w:rPr>
        <w:t>Jama’are</w:t>
      </w:r>
      <w:proofErr w:type="spellEnd"/>
      <w:r w:rsidRPr="005871E7">
        <w:rPr>
          <w:rFonts w:ascii="Garamond" w:hAnsi="Garamond"/>
        </w:rPr>
        <w:t xml:space="preserve"> (17%), and Shira (21%). </w:t>
      </w:r>
      <w:r w:rsidRPr="005871E7">
        <w:rPr>
          <w:rFonts w:ascii="Garamond" w:hAnsi="Garamond"/>
        </w:rPr>
        <w:lastRenderedPageBreak/>
        <w:t>This similarity in patterns may indicate shared programmatic challenges or delivery mechanisms affecting both interventions.</w:t>
      </w:r>
    </w:p>
    <w:p w14:paraId="7AB18410"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 xml:space="preserve">MUAC screening coverage is consistently the lowest among the four interventions across most LGAs. The highest MUAC screening is observed in </w:t>
      </w:r>
      <w:proofErr w:type="spellStart"/>
      <w:r w:rsidRPr="005871E7">
        <w:rPr>
          <w:rFonts w:ascii="Garamond" w:hAnsi="Garamond"/>
        </w:rPr>
        <w:t>Darazo</w:t>
      </w:r>
      <w:proofErr w:type="spellEnd"/>
      <w:r w:rsidRPr="005871E7">
        <w:rPr>
          <w:rFonts w:ascii="Garamond" w:hAnsi="Garamond"/>
        </w:rPr>
        <w:t xml:space="preserve"> (51%), Bauchi (41%), and Toro (33%). In contrast, LGAs such as Itas/Gadau, </w:t>
      </w:r>
      <w:proofErr w:type="spellStart"/>
      <w:r w:rsidRPr="005871E7">
        <w:rPr>
          <w:rFonts w:ascii="Garamond" w:hAnsi="Garamond"/>
        </w:rPr>
        <w:t>Katagum</w:t>
      </w:r>
      <w:proofErr w:type="spellEnd"/>
      <w:r w:rsidRPr="005871E7">
        <w:rPr>
          <w:rFonts w:ascii="Garamond" w:hAnsi="Garamond"/>
        </w:rPr>
        <w:t xml:space="preserve">, Shira, </w:t>
      </w:r>
      <w:proofErr w:type="spellStart"/>
      <w:r w:rsidRPr="005871E7">
        <w:rPr>
          <w:rFonts w:ascii="Garamond" w:hAnsi="Garamond"/>
        </w:rPr>
        <w:t>Ningi</w:t>
      </w:r>
      <w:proofErr w:type="spellEnd"/>
      <w:r w:rsidRPr="005871E7">
        <w:rPr>
          <w:rFonts w:ascii="Garamond" w:hAnsi="Garamond"/>
        </w:rPr>
        <w:t xml:space="preserve">, and </w:t>
      </w:r>
      <w:proofErr w:type="spellStart"/>
      <w:r w:rsidRPr="005871E7">
        <w:rPr>
          <w:rFonts w:ascii="Garamond" w:hAnsi="Garamond"/>
        </w:rPr>
        <w:t>Gamawa</w:t>
      </w:r>
      <w:proofErr w:type="spellEnd"/>
      <w:r w:rsidRPr="005871E7">
        <w:rPr>
          <w:rFonts w:ascii="Garamond" w:hAnsi="Garamond"/>
        </w:rPr>
        <w:t xml:space="preserve"> report coverage below 15%, indicating limited implementation of nutrition assessment activities in these areas.</w:t>
      </w:r>
    </w:p>
    <w:p w14:paraId="07246316"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 xml:space="preserve">Immunization coverage demonstrates the widest range of all interventions. </w:t>
      </w:r>
      <w:proofErr w:type="spellStart"/>
      <w:r w:rsidRPr="005871E7">
        <w:rPr>
          <w:rFonts w:ascii="Garamond" w:hAnsi="Garamond"/>
        </w:rPr>
        <w:t>Katagum</w:t>
      </w:r>
      <w:proofErr w:type="spellEnd"/>
      <w:r w:rsidRPr="005871E7">
        <w:rPr>
          <w:rFonts w:ascii="Garamond" w:hAnsi="Garamond"/>
        </w:rPr>
        <w:t xml:space="preserve">, </w:t>
      </w:r>
      <w:proofErr w:type="spellStart"/>
      <w:r w:rsidRPr="005871E7">
        <w:rPr>
          <w:rFonts w:ascii="Garamond" w:hAnsi="Garamond"/>
        </w:rPr>
        <w:t>Alkaleri</w:t>
      </w:r>
      <w:proofErr w:type="spellEnd"/>
      <w:r w:rsidRPr="005871E7">
        <w:rPr>
          <w:rFonts w:ascii="Garamond" w:hAnsi="Garamond"/>
        </w:rPr>
        <w:t xml:space="preserve">, DAMBAM, and </w:t>
      </w:r>
      <w:proofErr w:type="spellStart"/>
      <w:r w:rsidRPr="005871E7">
        <w:rPr>
          <w:rFonts w:ascii="Garamond" w:hAnsi="Garamond"/>
        </w:rPr>
        <w:t>Ningi</w:t>
      </w:r>
      <w:proofErr w:type="spellEnd"/>
      <w:r w:rsidRPr="005871E7">
        <w:rPr>
          <w:rFonts w:ascii="Garamond" w:hAnsi="Garamond"/>
        </w:rPr>
        <w:t xml:space="preserve"> show very high coverage rates, exceeding 90%. In sharp contrast, </w:t>
      </w:r>
      <w:proofErr w:type="spellStart"/>
      <w:r w:rsidRPr="005871E7">
        <w:rPr>
          <w:rFonts w:ascii="Garamond" w:hAnsi="Garamond"/>
        </w:rPr>
        <w:t>Jama’are</w:t>
      </w:r>
      <w:proofErr w:type="spellEnd"/>
      <w:r w:rsidRPr="005871E7">
        <w:rPr>
          <w:rFonts w:ascii="Garamond" w:hAnsi="Garamond"/>
        </w:rPr>
        <w:t xml:space="preserve"> (9%), Itas/Gadau (29%), </w:t>
      </w:r>
      <w:proofErr w:type="spellStart"/>
      <w:r w:rsidRPr="005871E7">
        <w:rPr>
          <w:rFonts w:ascii="Garamond" w:hAnsi="Garamond"/>
        </w:rPr>
        <w:t>Ganjuwa</w:t>
      </w:r>
      <w:proofErr w:type="spellEnd"/>
      <w:r w:rsidRPr="005871E7">
        <w:rPr>
          <w:rFonts w:ascii="Garamond" w:hAnsi="Garamond"/>
        </w:rPr>
        <w:t xml:space="preserve"> (38%), and Zaki (45%) display notably lower immunization coverage. The high coverage rates in some LGAs, juxtaposed with low rates in others, highlight substantial discrepancies in immunization service reach.</w:t>
      </w:r>
    </w:p>
    <w:p w14:paraId="19F9ED7B"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 xml:space="preserve">Comparatively, some LGAs, including </w:t>
      </w:r>
      <w:proofErr w:type="spellStart"/>
      <w:r w:rsidRPr="005871E7">
        <w:rPr>
          <w:rFonts w:ascii="Garamond" w:hAnsi="Garamond"/>
        </w:rPr>
        <w:t>Darazo</w:t>
      </w:r>
      <w:proofErr w:type="spellEnd"/>
      <w:r w:rsidRPr="005871E7">
        <w:rPr>
          <w:rFonts w:ascii="Garamond" w:hAnsi="Garamond"/>
        </w:rPr>
        <w:t xml:space="preserve">, Bauchi, and </w:t>
      </w:r>
      <w:proofErr w:type="spellStart"/>
      <w:r w:rsidRPr="005871E7">
        <w:rPr>
          <w:rFonts w:ascii="Garamond" w:hAnsi="Garamond"/>
        </w:rPr>
        <w:t>Alkaleri</w:t>
      </w:r>
      <w:proofErr w:type="spellEnd"/>
      <w:r w:rsidRPr="005871E7">
        <w:rPr>
          <w:rFonts w:ascii="Garamond" w:hAnsi="Garamond"/>
        </w:rPr>
        <w:t xml:space="preserve">, exhibit relatively high coverage across multiple interventions, suggesting more robust service delivery in these locations. Conversely, LGAs such as </w:t>
      </w:r>
      <w:proofErr w:type="spellStart"/>
      <w:r w:rsidRPr="005871E7">
        <w:rPr>
          <w:rFonts w:ascii="Garamond" w:hAnsi="Garamond"/>
        </w:rPr>
        <w:t>Katagum</w:t>
      </w:r>
      <w:proofErr w:type="spellEnd"/>
      <w:r w:rsidRPr="005871E7">
        <w:rPr>
          <w:rFonts w:ascii="Garamond" w:hAnsi="Garamond"/>
        </w:rPr>
        <w:t xml:space="preserve">, </w:t>
      </w:r>
      <w:proofErr w:type="spellStart"/>
      <w:r w:rsidRPr="005871E7">
        <w:rPr>
          <w:rFonts w:ascii="Garamond" w:hAnsi="Garamond"/>
        </w:rPr>
        <w:t>Jama’are</w:t>
      </w:r>
      <w:proofErr w:type="spellEnd"/>
      <w:r w:rsidRPr="005871E7">
        <w:rPr>
          <w:rFonts w:ascii="Garamond" w:hAnsi="Garamond"/>
        </w:rPr>
        <w:t xml:space="preserve">, Shira, and </w:t>
      </w:r>
      <w:proofErr w:type="spellStart"/>
      <w:r w:rsidRPr="005871E7">
        <w:rPr>
          <w:rFonts w:ascii="Garamond" w:hAnsi="Garamond"/>
        </w:rPr>
        <w:t>Gamawa</w:t>
      </w:r>
      <w:proofErr w:type="spellEnd"/>
      <w:r w:rsidRPr="005871E7">
        <w:rPr>
          <w:rFonts w:ascii="Garamond" w:hAnsi="Garamond"/>
        </w:rPr>
        <w:t xml:space="preserve"> consistently rank lower, particularly in VAS, Deworming, and MUAC coverage. Interestingly, immunization coverage in some LGAs, such as </w:t>
      </w:r>
      <w:proofErr w:type="spellStart"/>
      <w:r w:rsidRPr="005871E7">
        <w:rPr>
          <w:rFonts w:ascii="Garamond" w:hAnsi="Garamond"/>
        </w:rPr>
        <w:t>Katagum</w:t>
      </w:r>
      <w:proofErr w:type="spellEnd"/>
      <w:r w:rsidRPr="005871E7">
        <w:rPr>
          <w:rFonts w:ascii="Garamond" w:hAnsi="Garamond"/>
        </w:rPr>
        <w:t>, diverges significantly from the trends observed in the other interventions, suggesting the possibility of differing delivery strategies or program emphases.</w:t>
      </w:r>
    </w:p>
    <w:tbl>
      <w:tblPr>
        <w:tblStyle w:val="PlainTable5"/>
        <w:tblW w:w="4867" w:type="pct"/>
        <w:tblLayout w:type="fixed"/>
        <w:tblLook w:val="0420" w:firstRow="1" w:lastRow="0" w:firstColumn="0" w:lastColumn="0" w:noHBand="0" w:noVBand="1"/>
      </w:tblPr>
      <w:tblGrid>
        <w:gridCol w:w="2359"/>
        <w:gridCol w:w="971"/>
        <w:gridCol w:w="1527"/>
        <w:gridCol w:w="1111"/>
        <w:gridCol w:w="1943"/>
        <w:gridCol w:w="1410"/>
      </w:tblGrid>
      <w:tr w:rsidR="003661E0" w:rsidRPr="005871E7" w14:paraId="78604E27" w14:textId="77777777" w:rsidTr="00651AAF">
        <w:trPr>
          <w:cnfStyle w:val="100000000000" w:firstRow="1" w:lastRow="0" w:firstColumn="0" w:lastColumn="0" w:oddVBand="0" w:evenVBand="0" w:oddHBand="0" w:evenHBand="0" w:firstRowFirstColumn="0" w:firstRowLastColumn="0" w:lastRowFirstColumn="0" w:lastRowLastColumn="0"/>
        </w:trPr>
        <w:tc>
          <w:tcPr>
            <w:tcW w:w="2360" w:type="dxa"/>
          </w:tcPr>
          <w:p w14:paraId="24183AC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LGA</w:t>
            </w:r>
          </w:p>
        </w:tc>
        <w:tc>
          <w:tcPr>
            <w:tcW w:w="971" w:type="dxa"/>
          </w:tcPr>
          <w:p w14:paraId="5094063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VAS</w:t>
            </w:r>
          </w:p>
        </w:tc>
        <w:tc>
          <w:tcPr>
            <w:tcW w:w="1527" w:type="dxa"/>
          </w:tcPr>
          <w:p w14:paraId="59BF339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Deworming</w:t>
            </w:r>
          </w:p>
        </w:tc>
        <w:tc>
          <w:tcPr>
            <w:tcW w:w="1111" w:type="dxa"/>
          </w:tcPr>
          <w:p w14:paraId="172BDA64"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MUAC</w:t>
            </w:r>
          </w:p>
        </w:tc>
        <w:tc>
          <w:tcPr>
            <w:tcW w:w="1943" w:type="dxa"/>
          </w:tcPr>
          <w:p w14:paraId="0865E554"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Immunization</w:t>
            </w:r>
          </w:p>
        </w:tc>
        <w:tc>
          <w:tcPr>
            <w:tcW w:w="1410" w:type="dxa"/>
          </w:tcPr>
          <w:p w14:paraId="63275E7A" w14:textId="17CE8162" w:rsidR="003661E0" w:rsidRPr="005871E7" w:rsidRDefault="00651AAF" w:rsidP="002C3392">
            <w:pPr>
              <w:pStyle w:val="Compact"/>
              <w:spacing w:line="360" w:lineRule="auto"/>
              <w:jc w:val="both"/>
              <w:rPr>
                <w:rFonts w:ascii="Garamond" w:hAnsi="Garamond"/>
              </w:rPr>
            </w:pPr>
            <w:r>
              <w:rPr>
                <w:rFonts w:ascii="Garamond" w:hAnsi="Garamond"/>
              </w:rPr>
              <w:t>Frequency</w:t>
            </w:r>
          </w:p>
        </w:tc>
      </w:tr>
      <w:tr w:rsidR="003661E0" w:rsidRPr="005871E7" w14:paraId="7FED0E57" w14:textId="77777777" w:rsidTr="00651AAF">
        <w:trPr>
          <w:cnfStyle w:val="000000100000" w:firstRow="0" w:lastRow="0" w:firstColumn="0" w:lastColumn="0" w:oddVBand="0" w:evenVBand="0" w:oddHBand="1" w:evenHBand="0" w:firstRowFirstColumn="0" w:firstRowLastColumn="0" w:lastRowFirstColumn="0" w:lastRowLastColumn="0"/>
        </w:trPr>
        <w:tc>
          <w:tcPr>
            <w:tcW w:w="2360" w:type="dxa"/>
          </w:tcPr>
          <w:p w14:paraId="21A31439"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Alkaleri</w:t>
            </w:r>
            <w:proofErr w:type="spellEnd"/>
          </w:p>
        </w:tc>
        <w:tc>
          <w:tcPr>
            <w:tcW w:w="971" w:type="dxa"/>
          </w:tcPr>
          <w:p w14:paraId="084B917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0.423</w:t>
            </w:r>
          </w:p>
        </w:tc>
        <w:tc>
          <w:tcPr>
            <w:tcW w:w="1527" w:type="dxa"/>
          </w:tcPr>
          <w:p w14:paraId="56187C5D"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0.357</w:t>
            </w:r>
          </w:p>
        </w:tc>
        <w:tc>
          <w:tcPr>
            <w:tcW w:w="1111" w:type="dxa"/>
          </w:tcPr>
          <w:p w14:paraId="0467D87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0.265</w:t>
            </w:r>
          </w:p>
        </w:tc>
        <w:tc>
          <w:tcPr>
            <w:tcW w:w="1943" w:type="dxa"/>
          </w:tcPr>
          <w:p w14:paraId="1EE867E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0.971</w:t>
            </w:r>
          </w:p>
        </w:tc>
        <w:tc>
          <w:tcPr>
            <w:tcW w:w="1410" w:type="dxa"/>
          </w:tcPr>
          <w:p w14:paraId="1B4D4F6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499</w:t>
            </w:r>
          </w:p>
        </w:tc>
      </w:tr>
      <w:tr w:rsidR="003661E0" w:rsidRPr="005871E7" w14:paraId="4EA9B264" w14:textId="77777777" w:rsidTr="00651AAF">
        <w:tc>
          <w:tcPr>
            <w:tcW w:w="2360" w:type="dxa"/>
          </w:tcPr>
          <w:p w14:paraId="444C289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Bauchi</w:t>
            </w:r>
          </w:p>
        </w:tc>
        <w:tc>
          <w:tcPr>
            <w:tcW w:w="971" w:type="dxa"/>
          </w:tcPr>
          <w:p w14:paraId="38BD6AB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0.510</w:t>
            </w:r>
          </w:p>
        </w:tc>
        <w:tc>
          <w:tcPr>
            <w:tcW w:w="1527" w:type="dxa"/>
          </w:tcPr>
          <w:p w14:paraId="55B4BE9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0.414</w:t>
            </w:r>
          </w:p>
        </w:tc>
        <w:tc>
          <w:tcPr>
            <w:tcW w:w="1111" w:type="dxa"/>
          </w:tcPr>
          <w:p w14:paraId="12013A5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0.416</w:t>
            </w:r>
          </w:p>
        </w:tc>
        <w:tc>
          <w:tcPr>
            <w:tcW w:w="1943" w:type="dxa"/>
          </w:tcPr>
          <w:p w14:paraId="5428FDD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0.558</w:t>
            </w:r>
          </w:p>
        </w:tc>
        <w:tc>
          <w:tcPr>
            <w:tcW w:w="1410" w:type="dxa"/>
          </w:tcPr>
          <w:p w14:paraId="6C21258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502</w:t>
            </w:r>
          </w:p>
        </w:tc>
      </w:tr>
      <w:tr w:rsidR="003661E0" w:rsidRPr="005871E7" w14:paraId="326E5FC3" w14:textId="77777777" w:rsidTr="00651AAF">
        <w:trPr>
          <w:cnfStyle w:val="000000100000" w:firstRow="0" w:lastRow="0" w:firstColumn="0" w:lastColumn="0" w:oddVBand="0" w:evenVBand="0" w:oddHBand="1" w:evenHBand="0" w:firstRowFirstColumn="0" w:firstRowLastColumn="0" w:lastRowFirstColumn="0" w:lastRowLastColumn="0"/>
        </w:trPr>
        <w:tc>
          <w:tcPr>
            <w:tcW w:w="2360" w:type="dxa"/>
          </w:tcPr>
          <w:p w14:paraId="5F2D7407"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Bogoro</w:t>
            </w:r>
            <w:proofErr w:type="spellEnd"/>
          </w:p>
        </w:tc>
        <w:tc>
          <w:tcPr>
            <w:tcW w:w="971" w:type="dxa"/>
          </w:tcPr>
          <w:p w14:paraId="6DC9183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0.452</w:t>
            </w:r>
          </w:p>
        </w:tc>
        <w:tc>
          <w:tcPr>
            <w:tcW w:w="1527" w:type="dxa"/>
          </w:tcPr>
          <w:p w14:paraId="56B3EB5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0.418</w:t>
            </w:r>
          </w:p>
        </w:tc>
        <w:tc>
          <w:tcPr>
            <w:tcW w:w="1111" w:type="dxa"/>
          </w:tcPr>
          <w:p w14:paraId="4F5893A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0.222</w:t>
            </w:r>
          </w:p>
        </w:tc>
        <w:tc>
          <w:tcPr>
            <w:tcW w:w="1943" w:type="dxa"/>
          </w:tcPr>
          <w:p w14:paraId="1425D4E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0.753</w:t>
            </w:r>
          </w:p>
        </w:tc>
        <w:tc>
          <w:tcPr>
            <w:tcW w:w="1410" w:type="dxa"/>
          </w:tcPr>
          <w:p w14:paraId="69E933A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325</w:t>
            </w:r>
          </w:p>
        </w:tc>
      </w:tr>
      <w:tr w:rsidR="003661E0" w:rsidRPr="005871E7" w14:paraId="624AD4D3" w14:textId="77777777" w:rsidTr="00651AAF">
        <w:tc>
          <w:tcPr>
            <w:tcW w:w="2360" w:type="dxa"/>
          </w:tcPr>
          <w:p w14:paraId="4F5C7F2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DAMBAM</w:t>
            </w:r>
          </w:p>
        </w:tc>
        <w:tc>
          <w:tcPr>
            <w:tcW w:w="971" w:type="dxa"/>
          </w:tcPr>
          <w:p w14:paraId="2A85CCD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0.374</w:t>
            </w:r>
          </w:p>
        </w:tc>
        <w:tc>
          <w:tcPr>
            <w:tcW w:w="1527" w:type="dxa"/>
          </w:tcPr>
          <w:p w14:paraId="6A0F076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0.317</w:t>
            </w:r>
          </w:p>
        </w:tc>
        <w:tc>
          <w:tcPr>
            <w:tcW w:w="1111" w:type="dxa"/>
          </w:tcPr>
          <w:p w14:paraId="5D9BCAF7"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0.221</w:t>
            </w:r>
          </w:p>
        </w:tc>
        <w:tc>
          <w:tcPr>
            <w:tcW w:w="1943" w:type="dxa"/>
          </w:tcPr>
          <w:p w14:paraId="3CC649A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0.917</w:t>
            </w:r>
          </w:p>
        </w:tc>
        <w:tc>
          <w:tcPr>
            <w:tcW w:w="1410" w:type="dxa"/>
          </w:tcPr>
          <w:p w14:paraId="597B17B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398</w:t>
            </w:r>
          </w:p>
        </w:tc>
      </w:tr>
      <w:tr w:rsidR="003661E0" w:rsidRPr="005871E7" w14:paraId="3BA85DEF" w14:textId="77777777" w:rsidTr="00651AAF">
        <w:trPr>
          <w:cnfStyle w:val="000000100000" w:firstRow="0" w:lastRow="0" w:firstColumn="0" w:lastColumn="0" w:oddVBand="0" w:evenVBand="0" w:oddHBand="1" w:evenHBand="0" w:firstRowFirstColumn="0" w:firstRowLastColumn="0" w:lastRowFirstColumn="0" w:lastRowLastColumn="0"/>
        </w:trPr>
        <w:tc>
          <w:tcPr>
            <w:tcW w:w="2360" w:type="dxa"/>
          </w:tcPr>
          <w:p w14:paraId="6BD385B5"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Darazo</w:t>
            </w:r>
            <w:proofErr w:type="spellEnd"/>
          </w:p>
        </w:tc>
        <w:tc>
          <w:tcPr>
            <w:tcW w:w="971" w:type="dxa"/>
          </w:tcPr>
          <w:p w14:paraId="2CBD4F8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0.667</w:t>
            </w:r>
          </w:p>
        </w:tc>
        <w:tc>
          <w:tcPr>
            <w:tcW w:w="1527" w:type="dxa"/>
          </w:tcPr>
          <w:p w14:paraId="75A1326D"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0.569</w:t>
            </w:r>
          </w:p>
        </w:tc>
        <w:tc>
          <w:tcPr>
            <w:tcW w:w="1111" w:type="dxa"/>
          </w:tcPr>
          <w:p w14:paraId="441882D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0.514</w:t>
            </w:r>
          </w:p>
        </w:tc>
        <w:tc>
          <w:tcPr>
            <w:tcW w:w="1943" w:type="dxa"/>
          </w:tcPr>
          <w:p w14:paraId="7B6187D7"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0.545</w:t>
            </w:r>
          </w:p>
        </w:tc>
        <w:tc>
          <w:tcPr>
            <w:tcW w:w="1410" w:type="dxa"/>
          </w:tcPr>
          <w:p w14:paraId="47AFBB11"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418</w:t>
            </w:r>
          </w:p>
        </w:tc>
      </w:tr>
      <w:tr w:rsidR="003661E0" w:rsidRPr="005871E7" w14:paraId="58366DE1" w14:textId="77777777" w:rsidTr="00651AAF">
        <w:tc>
          <w:tcPr>
            <w:tcW w:w="2360" w:type="dxa"/>
          </w:tcPr>
          <w:p w14:paraId="45285CB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Dass</w:t>
            </w:r>
          </w:p>
        </w:tc>
        <w:tc>
          <w:tcPr>
            <w:tcW w:w="971" w:type="dxa"/>
          </w:tcPr>
          <w:p w14:paraId="387A7A01"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0.566</w:t>
            </w:r>
          </w:p>
        </w:tc>
        <w:tc>
          <w:tcPr>
            <w:tcW w:w="1527" w:type="dxa"/>
          </w:tcPr>
          <w:p w14:paraId="4DA74CC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0.366</w:t>
            </w:r>
          </w:p>
        </w:tc>
        <w:tc>
          <w:tcPr>
            <w:tcW w:w="1111" w:type="dxa"/>
          </w:tcPr>
          <w:p w14:paraId="263A6FE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0.277</w:t>
            </w:r>
          </w:p>
        </w:tc>
        <w:tc>
          <w:tcPr>
            <w:tcW w:w="1943" w:type="dxa"/>
          </w:tcPr>
          <w:p w14:paraId="2AE2B39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0.737</w:t>
            </w:r>
          </w:p>
        </w:tc>
        <w:tc>
          <w:tcPr>
            <w:tcW w:w="1410" w:type="dxa"/>
          </w:tcPr>
          <w:p w14:paraId="3B44C49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325</w:t>
            </w:r>
          </w:p>
        </w:tc>
      </w:tr>
      <w:tr w:rsidR="003661E0" w:rsidRPr="005871E7" w14:paraId="0A70BB79" w14:textId="77777777" w:rsidTr="00651AAF">
        <w:trPr>
          <w:cnfStyle w:val="000000100000" w:firstRow="0" w:lastRow="0" w:firstColumn="0" w:lastColumn="0" w:oddVBand="0" w:evenVBand="0" w:oddHBand="1" w:evenHBand="0" w:firstRowFirstColumn="0" w:firstRowLastColumn="0" w:lastRowFirstColumn="0" w:lastRowLastColumn="0"/>
        </w:trPr>
        <w:tc>
          <w:tcPr>
            <w:tcW w:w="2360" w:type="dxa"/>
          </w:tcPr>
          <w:p w14:paraId="3B224434"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Gamawa</w:t>
            </w:r>
            <w:proofErr w:type="spellEnd"/>
          </w:p>
        </w:tc>
        <w:tc>
          <w:tcPr>
            <w:tcW w:w="971" w:type="dxa"/>
          </w:tcPr>
          <w:p w14:paraId="2C9F553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0.122</w:t>
            </w:r>
          </w:p>
        </w:tc>
        <w:tc>
          <w:tcPr>
            <w:tcW w:w="1527" w:type="dxa"/>
          </w:tcPr>
          <w:p w14:paraId="7794B5A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0.236</w:t>
            </w:r>
          </w:p>
        </w:tc>
        <w:tc>
          <w:tcPr>
            <w:tcW w:w="1111" w:type="dxa"/>
          </w:tcPr>
          <w:p w14:paraId="1F0AD5D7"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0.051</w:t>
            </w:r>
          </w:p>
        </w:tc>
        <w:tc>
          <w:tcPr>
            <w:tcW w:w="1943" w:type="dxa"/>
          </w:tcPr>
          <w:p w14:paraId="7DBA55D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0.652</w:t>
            </w:r>
          </w:p>
        </w:tc>
        <w:tc>
          <w:tcPr>
            <w:tcW w:w="1410" w:type="dxa"/>
          </w:tcPr>
          <w:p w14:paraId="0DEAF97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449</w:t>
            </w:r>
          </w:p>
        </w:tc>
      </w:tr>
      <w:tr w:rsidR="003661E0" w:rsidRPr="005871E7" w14:paraId="534E85FA" w14:textId="77777777" w:rsidTr="00651AAF">
        <w:tc>
          <w:tcPr>
            <w:tcW w:w="2360" w:type="dxa"/>
          </w:tcPr>
          <w:p w14:paraId="21D4CCC1"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Ganjuwa</w:t>
            </w:r>
            <w:proofErr w:type="spellEnd"/>
          </w:p>
        </w:tc>
        <w:tc>
          <w:tcPr>
            <w:tcW w:w="971" w:type="dxa"/>
          </w:tcPr>
          <w:p w14:paraId="7BBFB9A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0.415</w:t>
            </w:r>
          </w:p>
        </w:tc>
        <w:tc>
          <w:tcPr>
            <w:tcW w:w="1527" w:type="dxa"/>
          </w:tcPr>
          <w:p w14:paraId="0541A4E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0.398</w:t>
            </w:r>
          </w:p>
        </w:tc>
        <w:tc>
          <w:tcPr>
            <w:tcW w:w="1111" w:type="dxa"/>
          </w:tcPr>
          <w:p w14:paraId="425F904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0.152</w:t>
            </w:r>
          </w:p>
        </w:tc>
        <w:tc>
          <w:tcPr>
            <w:tcW w:w="1943" w:type="dxa"/>
          </w:tcPr>
          <w:p w14:paraId="672EB84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0.378</w:t>
            </w:r>
          </w:p>
        </w:tc>
        <w:tc>
          <w:tcPr>
            <w:tcW w:w="1410" w:type="dxa"/>
          </w:tcPr>
          <w:p w14:paraId="38DEB83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400</w:t>
            </w:r>
          </w:p>
        </w:tc>
      </w:tr>
      <w:tr w:rsidR="003661E0" w:rsidRPr="005871E7" w14:paraId="762D7E1F" w14:textId="77777777" w:rsidTr="00651AAF">
        <w:trPr>
          <w:cnfStyle w:val="000000100000" w:firstRow="0" w:lastRow="0" w:firstColumn="0" w:lastColumn="0" w:oddVBand="0" w:evenVBand="0" w:oddHBand="1" w:evenHBand="0" w:firstRowFirstColumn="0" w:firstRowLastColumn="0" w:lastRowFirstColumn="0" w:lastRowLastColumn="0"/>
        </w:trPr>
        <w:tc>
          <w:tcPr>
            <w:tcW w:w="2360" w:type="dxa"/>
          </w:tcPr>
          <w:p w14:paraId="067699CC"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Giade</w:t>
            </w:r>
            <w:proofErr w:type="spellEnd"/>
          </w:p>
        </w:tc>
        <w:tc>
          <w:tcPr>
            <w:tcW w:w="971" w:type="dxa"/>
          </w:tcPr>
          <w:p w14:paraId="0EF6CFA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0.535</w:t>
            </w:r>
          </w:p>
        </w:tc>
        <w:tc>
          <w:tcPr>
            <w:tcW w:w="1527" w:type="dxa"/>
          </w:tcPr>
          <w:p w14:paraId="2D88D10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0.357</w:t>
            </w:r>
          </w:p>
        </w:tc>
        <w:tc>
          <w:tcPr>
            <w:tcW w:w="1111" w:type="dxa"/>
          </w:tcPr>
          <w:p w14:paraId="74C8869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0.228</w:t>
            </w:r>
          </w:p>
        </w:tc>
        <w:tc>
          <w:tcPr>
            <w:tcW w:w="1943" w:type="dxa"/>
          </w:tcPr>
          <w:p w14:paraId="4BE0F2ED"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0.417</w:t>
            </w:r>
          </w:p>
        </w:tc>
        <w:tc>
          <w:tcPr>
            <w:tcW w:w="1410" w:type="dxa"/>
          </w:tcPr>
          <w:p w14:paraId="5E12114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325</w:t>
            </w:r>
          </w:p>
        </w:tc>
      </w:tr>
      <w:tr w:rsidR="003661E0" w:rsidRPr="005871E7" w14:paraId="1B51F2CA" w14:textId="77777777" w:rsidTr="00651AAF">
        <w:tc>
          <w:tcPr>
            <w:tcW w:w="2360" w:type="dxa"/>
          </w:tcPr>
          <w:p w14:paraId="4A4C675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Itas/Gadau</w:t>
            </w:r>
          </w:p>
        </w:tc>
        <w:tc>
          <w:tcPr>
            <w:tcW w:w="971" w:type="dxa"/>
          </w:tcPr>
          <w:p w14:paraId="70256D0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0.462</w:t>
            </w:r>
          </w:p>
        </w:tc>
        <w:tc>
          <w:tcPr>
            <w:tcW w:w="1527" w:type="dxa"/>
          </w:tcPr>
          <w:p w14:paraId="66D40852"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0.372</w:t>
            </w:r>
          </w:p>
        </w:tc>
        <w:tc>
          <w:tcPr>
            <w:tcW w:w="1111" w:type="dxa"/>
          </w:tcPr>
          <w:p w14:paraId="6F5011E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0.098</w:t>
            </w:r>
          </w:p>
        </w:tc>
        <w:tc>
          <w:tcPr>
            <w:tcW w:w="1943" w:type="dxa"/>
          </w:tcPr>
          <w:p w14:paraId="6DCC664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0.286</w:t>
            </w:r>
          </w:p>
        </w:tc>
        <w:tc>
          <w:tcPr>
            <w:tcW w:w="1410" w:type="dxa"/>
          </w:tcPr>
          <w:p w14:paraId="42964E9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400</w:t>
            </w:r>
          </w:p>
        </w:tc>
      </w:tr>
      <w:tr w:rsidR="003661E0" w:rsidRPr="005871E7" w14:paraId="75ABCB85" w14:textId="77777777" w:rsidTr="00651AAF">
        <w:trPr>
          <w:cnfStyle w:val="000000100000" w:firstRow="0" w:lastRow="0" w:firstColumn="0" w:lastColumn="0" w:oddVBand="0" w:evenVBand="0" w:oddHBand="1" w:evenHBand="0" w:firstRowFirstColumn="0" w:firstRowLastColumn="0" w:lastRowFirstColumn="0" w:lastRowLastColumn="0"/>
        </w:trPr>
        <w:tc>
          <w:tcPr>
            <w:tcW w:w="2360" w:type="dxa"/>
          </w:tcPr>
          <w:p w14:paraId="31DBF37E"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lastRenderedPageBreak/>
              <w:t>Jama’are</w:t>
            </w:r>
            <w:proofErr w:type="spellEnd"/>
          </w:p>
        </w:tc>
        <w:tc>
          <w:tcPr>
            <w:tcW w:w="971" w:type="dxa"/>
          </w:tcPr>
          <w:p w14:paraId="5E1906E2"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0.274</w:t>
            </w:r>
          </w:p>
        </w:tc>
        <w:tc>
          <w:tcPr>
            <w:tcW w:w="1527" w:type="dxa"/>
          </w:tcPr>
          <w:p w14:paraId="0129EB57"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0.172</w:t>
            </w:r>
          </w:p>
        </w:tc>
        <w:tc>
          <w:tcPr>
            <w:tcW w:w="1111" w:type="dxa"/>
          </w:tcPr>
          <w:p w14:paraId="403616E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0.129</w:t>
            </w:r>
          </w:p>
        </w:tc>
        <w:tc>
          <w:tcPr>
            <w:tcW w:w="1943" w:type="dxa"/>
          </w:tcPr>
          <w:p w14:paraId="7619CC3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0.091</w:t>
            </w:r>
          </w:p>
        </w:tc>
        <w:tc>
          <w:tcPr>
            <w:tcW w:w="1410" w:type="dxa"/>
          </w:tcPr>
          <w:p w14:paraId="1CA15E4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325</w:t>
            </w:r>
          </w:p>
        </w:tc>
      </w:tr>
      <w:tr w:rsidR="003661E0" w:rsidRPr="005871E7" w14:paraId="35D7ED17" w14:textId="77777777" w:rsidTr="00651AAF">
        <w:tc>
          <w:tcPr>
            <w:tcW w:w="2360" w:type="dxa"/>
          </w:tcPr>
          <w:p w14:paraId="5AABB0D0"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Katagum</w:t>
            </w:r>
            <w:proofErr w:type="spellEnd"/>
          </w:p>
        </w:tc>
        <w:tc>
          <w:tcPr>
            <w:tcW w:w="971" w:type="dxa"/>
          </w:tcPr>
          <w:p w14:paraId="07AB136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0.184</w:t>
            </w:r>
          </w:p>
        </w:tc>
        <w:tc>
          <w:tcPr>
            <w:tcW w:w="1527" w:type="dxa"/>
          </w:tcPr>
          <w:p w14:paraId="49130E5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0.114</w:t>
            </w:r>
          </w:p>
        </w:tc>
        <w:tc>
          <w:tcPr>
            <w:tcW w:w="1111" w:type="dxa"/>
          </w:tcPr>
          <w:p w14:paraId="7B1ABA02"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0.070</w:t>
            </w:r>
          </w:p>
        </w:tc>
        <w:tc>
          <w:tcPr>
            <w:tcW w:w="1943" w:type="dxa"/>
          </w:tcPr>
          <w:p w14:paraId="4B5ECFB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1.000</w:t>
            </w:r>
          </w:p>
        </w:tc>
        <w:tc>
          <w:tcPr>
            <w:tcW w:w="1410" w:type="dxa"/>
          </w:tcPr>
          <w:p w14:paraId="15A353F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501</w:t>
            </w:r>
          </w:p>
        </w:tc>
      </w:tr>
      <w:tr w:rsidR="003661E0" w:rsidRPr="005871E7" w14:paraId="35E3EA8C" w14:textId="77777777" w:rsidTr="00651AAF">
        <w:trPr>
          <w:cnfStyle w:val="000000100000" w:firstRow="0" w:lastRow="0" w:firstColumn="0" w:lastColumn="0" w:oddVBand="0" w:evenVBand="0" w:oddHBand="1" w:evenHBand="0" w:firstRowFirstColumn="0" w:firstRowLastColumn="0" w:lastRowFirstColumn="0" w:lastRowLastColumn="0"/>
        </w:trPr>
        <w:tc>
          <w:tcPr>
            <w:tcW w:w="2360" w:type="dxa"/>
          </w:tcPr>
          <w:p w14:paraId="37AF4919"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Kirfi</w:t>
            </w:r>
            <w:proofErr w:type="spellEnd"/>
          </w:p>
        </w:tc>
        <w:tc>
          <w:tcPr>
            <w:tcW w:w="971" w:type="dxa"/>
          </w:tcPr>
          <w:p w14:paraId="5A94115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0.297</w:t>
            </w:r>
          </w:p>
        </w:tc>
        <w:tc>
          <w:tcPr>
            <w:tcW w:w="1527" w:type="dxa"/>
          </w:tcPr>
          <w:p w14:paraId="7D69CE21"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0.393</w:t>
            </w:r>
          </w:p>
        </w:tc>
        <w:tc>
          <w:tcPr>
            <w:tcW w:w="1111" w:type="dxa"/>
          </w:tcPr>
          <w:p w14:paraId="5F15C98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0.307</w:t>
            </w:r>
          </w:p>
        </w:tc>
        <w:tc>
          <w:tcPr>
            <w:tcW w:w="1943" w:type="dxa"/>
          </w:tcPr>
          <w:p w14:paraId="61E18F3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0.800</w:t>
            </w:r>
          </w:p>
        </w:tc>
        <w:tc>
          <w:tcPr>
            <w:tcW w:w="1410" w:type="dxa"/>
          </w:tcPr>
          <w:p w14:paraId="2C077A1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323</w:t>
            </w:r>
          </w:p>
        </w:tc>
      </w:tr>
      <w:tr w:rsidR="003661E0" w:rsidRPr="005871E7" w14:paraId="66D425DB" w14:textId="77777777" w:rsidTr="00651AAF">
        <w:tc>
          <w:tcPr>
            <w:tcW w:w="2360" w:type="dxa"/>
          </w:tcPr>
          <w:p w14:paraId="03A9D20F"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Misau</w:t>
            </w:r>
            <w:proofErr w:type="spellEnd"/>
          </w:p>
        </w:tc>
        <w:tc>
          <w:tcPr>
            <w:tcW w:w="971" w:type="dxa"/>
          </w:tcPr>
          <w:p w14:paraId="24EC2AB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0.472</w:t>
            </w:r>
          </w:p>
        </w:tc>
        <w:tc>
          <w:tcPr>
            <w:tcW w:w="1527" w:type="dxa"/>
          </w:tcPr>
          <w:p w14:paraId="132FA13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0.412</w:t>
            </w:r>
          </w:p>
        </w:tc>
        <w:tc>
          <w:tcPr>
            <w:tcW w:w="1111" w:type="dxa"/>
          </w:tcPr>
          <w:p w14:paraId="2547D887"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0.308</w:t>
            </w:r>
          </w:p>
        </w:tc>
        <w:tc>
          <w:tcPr>
            <w:tcW w:w="1943" w:type="dxa"/>
          </w:tcPr>
          <w:p w14:paraId="504A72F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0.846</w:t>
            </w:r>
          </w:p>
        </w:tc>
        <w:tc>
          <w:tcPr>
            <w:tcW w:w="1410" w:type="dxa"/>
          </w:tcPr>
          <w:p w14:paraId="65D2E62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400</w:t>
            </w:r>
          </w:p>
        </w:tc>
      </w:tr>
      <w:tr w:rsidR="003661E0" w:rsidRPr="005871E7" w14:paraId="77956E3D" w14:textId="77777777" w:rsidTr="00651AAF">
        <w:trPr>
          <w:cnfStyle w:val="000000100000" w:firstRow="0" w:lastRow="0" w:firstColumn="0" w:lastColumn="0" w:oddVBand="0" w:evenVBand="0" w:oddHBand="1" w:evenHBand="0" w:firstRowFirstColumn="0" w:firstRowLastColumn="0" w:lastRowFirstColumn="0" w:lastRowLastColumn="0"/>
        </w:trPr>
        <w:tc>
          <w:tcPr>
            <w:tcW w:w="2360" w:type="dxa"/>
          </w:tcPr>
          <w:p w14:paraId="73BD2B88"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Ningi</w:t>
            </w:r>
            <w:proofErr w:type="spellEnd"/>
          </w:p>
        </w:tc>
        <w:tc>
          <w:tcPr>
            <w:tcW w:w="971" w:type="dxa"/>
          </w:tcPr>
          <w:p w14:paraId="3B3BEC9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0.370</w:t>
            </w:r>
          </w:p>
        </w:tc>
        <w:tc>
          <w:tcPr>
            <w:tcW w:w="1527" w:type="dxa"/>
          </w:tcPr>
          <w:p w14:paraId="04F0B4E1"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0.268</w:t>
            </w:r>
          </w:p>
        </w:tc>
        <w:tc>
          <w:tcPr>
            <w:tcW w:w="1111" w:type="dxa"/>
          </w:tcPr>
          <w:p w14:paraId="2157C28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0.140</w:t>
            </w:r>
          </w:p>
        </w:tc>
        <w:tc>
          <w:tcPr>
            <w:tcW w:w="1943" w:type="dxa"/>
          </w:tcPr>
          <w:p w14:paraId="3ECF7882"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0.914</w:t>
            </w:r>
          </w:p>
        </w:tc>
        <w:tc>
          <w:tcPr>
            <w:tcW w:w="1410" w:type="dxa"/>
          </w:tcPr>
          <w:p w14:paraId="47BB4D6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400</w:t>
            </w:r>
          </w:p>
        </w:tc>
      </w:tr>
      <w:tr w:rsidR="003661E0" w:rsidRPr="005871E7" w14:paraId="2C213258" w14:textId="77777777" w:rsidTr="00651AAF">
        <w:tc>
          <w:tcPr>
            <w:tcW w:w="2360" w:type="dxa"/>
          </w:tcPr>
          <w:p w14:paraId="3AB303B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Shira</w:t>
            </w:r>
          </w:p>
        </w:tc>
        <w:tc>
          <w:tcPr>
            <w:tcW w:w="971" w:type="dxa"/>
          </w:tcPr>
          <w:p w14:paraId="00A31A9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0.228</w:t>
            </w:r>
          </w:p>
        </w:tc>
        <w:tc>
          <w:tcPr>
            <w:tcW w:w="1527" w:type="dxa"/>
          </w:tcPr>
          <w:p w14:paraId="0C3FDDC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0.213</w:t>
            </w:r>
          </w:p>
        </w:tc>
        <w:tc>
          <w:tcPr>
            <w:tcW w:w="1111" w:type="dxa"/>
          </w:tcPr>
          <w:p w14:paraId="092C3414"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0.148</w:t>
            </w:r>
          </w:p>
        </w:tc>
        <w:tc>
          <w:tcPr>
            <w:tcW w:w="1943" w:type="dxa"/>
          </w:tcPr>
          <w:p w14:paraId="7FD689E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0.821</w:t>
            </w:r>
          </w:p>
        </w:tc>
        <w:tc>
          <w:tcPr>
            <w:tcW w:w="1410" w:type="dxa"/>
          </w:tcPr>
          <w:p w14:paraId="70313DE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474</w:t>
            </w:r>
          </w:p>
        </w:tc>
      </w:tr>
      <w:tr w:rsidR="003661E0" w:rsidRPr="005871E7" w14:paraId="16D90976" w14:textId="77777777" w:rsidTr="00651AAF">
        <w:trPr>
          <w:cnfStyle w:val="000000100000" w:firstRow="0" w:lastRow="0" w:firstColumn="0" w:lastColumn="0" w:oddVBand="0" w:evenVBand="0" w:oddHBand="1" w:evenHBand="0" w:firstRowFirstColumn="0" w:firstRowLastColumn="0" w:lastRowFirstColumn="0" w:lastRowLastColumn="0"/>
        </w:trPr>
        <w:tc>
          <w:tcPr>
            <w:tcW w:w="2360" w:type="dxa"/>
          </w:tcPr>
          <w:p w14:paraId="1095290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Tafawa-Balewa</w:t>
            </w:r>
          </w:p>
        </w:tc>
        <w:tc>
          <w:tcPr>
            <w:tcW w:w="971" w:type="dxa"/>
          </w:tcPr>
          <w:p w14:paraId="4553707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0.392</w:t>
            </w:r>
          </w:p>
        </w:tc>
        <w:tc>
          <w:tcPr>
            <w:tcW w:w="1527" w:type="dxa"/>
          </w:tcPr>
          <w:p w14:paraId="2D0F7D2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0.315</w:t>
            </w:r>
          </w:p>
        </w:tc>
        <w:tc>
          <w:tcPr>
            <w:tcW w:w="1111" w:type="dxa"/>
          </w:tcPr>
          <w:p w14:paraId="4640D972"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0.252</w:t>
            </w:r>
          </w:p>
        </w:tc>
        <w:tc>
          <w:tcPr>
            <w:tcW w:w="1943" w:type="dxa"/>
          </w:tcPr>
          <w:p w14:paraId="40E2BE8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0.818</w:t>
            </w:r>
          </w:p>
        </w:tc>
        <w:tc>
          <w:tcPr>
            <w:tcW w:w="1410" w:type="dxa"/>
          </w:tcPr>
          <w:p w14:paraId="275C313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400</w:t>
            </w:r>
          </w:p>
        </w:tc>
      </w:tr>
      <w:tr w:rsidR="003661E0" w:rsidRPr="005871E7" w14:paraId="51FE8F73" w14:textId="77777777" w:rsidTr="00651AAF">
        <w:tc>
          <w:tcPr>
            <w:tcW w:w="2360" w:type="dxa"/>
          </w:tcPr>
          <w:p w14:paraId="1F4CBEB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Toro</w:t>
            </w:r>
          </w:p>
        </w:tc>
        <w:tc>
          <w:tcPr>
            <w:tcW w:w="971" w:type="dxa"/>
          </w:tcPr>
          <w:p w14:paraId="5E3D844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0.536</w:t>
            </w:r>
          </w:p>
        </w:tc>
        <w:tc>
          <w:tcPr>
            <w:tcW w:w="1527" w:type="dxa"/>
          </w:tcPr>
          <w:p w14:paraId="7908F6D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0.381</w:t>
            </w:r>
          </w:p>
        </w:tc>
        <w:tc>
          <w:tcPr>
            <w:tcW w:w="1111" w:type="dxa"/>
          </w:tcPr>
          <w:p w14:paraId="67F2FF94"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0.334</w:t>
            </w:r>
          </w:p>
        </w:tc>
        <w:tc>
          <w:tcPr>
            <w:tcW w:w="1943" w:type="dxa"/>
          </w:tcPr>
          <w:p w14:paraId="7043D0A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0.444</w:t>
            </w:r>
          </w:p>
        </w:tc>
        <w:tc>
          <w:tcPr>
            <w:tcW w:w="1410" w:type="dxa"/>
          </w:tcPr>
          <w:p w14:paraId="1449102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425</w:t>
            </w:r>
          </w:p>
        </w:tc>
      </w:tr>
      <w:tr w:rsidR="003661E0" w:rsidRPr="005871E7" w14:paraId="0DC928AD" w14:textId="77777777" w:rsidTr="00651AAF">
        <w:trPr>
          <w:cnfStyle w:val="000000100000" w:firstRow="0" w:lastRow="0" w:firstColumn="0" w:lastColumn="0" w:oddVBand="0" w:evenVBand="0" w:oddHBand="1" w:evenHBand="0" w:firstRowFirstColumn="0" w:firstRowLastColumn="0" w:lastRowFirstColumn="0" w:lastRowLastColumn="0"/>
        </w:trPr>
        <w:tc>
          <w:tcPr>
            <w:tcW w:w="2360" w:type="dxa"/>
          </w:tcPr>
          <w:p w14:paraId="2DD20758"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Warji</w:t>
            </w:r>
            <w:proofErr w:type="spellEnd"/>
          </w:p>
        </w:tc>
        <w:tc>
          <w:tcPr>
            <w:tcW w:w="971" w:type="dxa"/>
          </w:tcPr>
          <w:p w14:paraId="6D708944"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0.360</w:t>
            </w:r>
          </w:p>
        </w:tc>
        <w:tc>
          <w:tcPr>
            <w:tcW w:w="1527" w:type="dxa"/>
          </w:tcPr>
          <w:p w14:paraId="114EEEC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0.317</w:t>
            </w:r>
          </w:p>
        </w:tc>
        <w:tc>
          <w:tcPr>
            <w:tcW w:w="1111" w:type="dxa"/>
          </w:tcPr>
          <w:p w14:paraId="1C2B833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0.249</w:t>
            </w:r>
          </w:p>
        </w:tc>
        <w:tc>
          <w:tcPr>
            <w:tcW w:w="1943" w:type="dxa"/>
          </w:tcPr>
          <w:p w14:paraId="4C569C6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0.889</w:t>
            </w:r>
          </w:p>
        </w:tc>
        <w:tc>
          <w:tcPr>
            <w:tcW w:w="1410" w:type="dxa"/>
          </w:tcPr>
          <w:p w14:paraId="020B7D0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325</w:t>
            </w:r>
          </w:p>
        </w:tc>
      </w:tr>
      <w:tr w:rsidR="003661E0" w:rsidRPr="005871E7" w14:paraId="2FE79E96" w14:textId="77777777" w:rsidTr="00651AAF">
        <w:tc>
          <w:tcPr>
            <w:tcW w:w="2360" w:type="dxa"/>
          </w:tcPr>
          <w:p w14:paraId="792A3D3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Zaki</w:t>
            </w:r>
          </w:p>
        </w:tc>
        <w:tc>
          <w:tcPr>
            <w:tcW w:w="971" w:type="dxa"/>
          </w:tcPr>
          <w:p w14:paraId="647BDCB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0.291</w:t>
            </w:r>
          </w:p>
        </w:tc>
        <w:tc>
          <w:tcPr>
            <w:tcW w:w="1527" w:type="dxa"/>
          </w:tcPr>
          <w:p w14:paraId="7ED05CD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0.213</w:t>
            </w:r>
          </w:p>
        </w:tc>
        <w:tc>
          <w:tcPr>
            <w:tcW w:w="1111" w:type="dxa"/>
          </w:tcPr>
          <w:p w14:paraId="1A86423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0.173</w:t>
            </w:r>
          </w:p>
        </w:tc>
        <w:tc>
          <w:tcPr>
            <w:tcW w:w="1943" w:type="dxa"/>
          </w:tcPr>
          <w:p w14:paraId="2BA785C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0.448</w:t>
            </w:r>
          </w:p>
        </w:tc>
        <w:tc>
          <w:tcPr>
            <w:tcW w:w="1410" w:type="dxa"/>
          </w:tcPr>
          <w:p w14:paraId="2B9FE381"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450</w:t>
            </w:r>
          </w:p>
        </w:tc>
      </w:tr>
    </w:tbl>
    <w:p w14:paraId="63BBA859" w14:textId="60969E6D" w:rsidR="003661E0" w:rsidRPr="005871E7" w:rsidRDefault="003661E0" w:rsidP="003661E0">
      <w:pPr>
        <w:pStyle w:val="BodyText"/>
        <w:spacing w:line="360" w:lineRule="auto"/>
        <w:jc w:val="both"/>
        <w:rPr>
          <w:rFonts w:ascii="Garamond" w:hAnsi="Garamond"/>
        </w:rPr>
      </w:pPr>
      <w:r w:rsidRPr="003661E0">
        <w:rPr>
          <w:rFonts w:ascii="Garamond" w:hAnsi="Garamond"/>
        </w:rPr>
        <w:drawing>
          <wp:anchor distT="0" distB="0" distL="114300" distR="114300" simplePos="0" relativeHeight="251659776" behindDoc="0" locked="0" layoutInCell="1" allowOverlap="1" wp14:anchorId="0D4897C3" wp14:editId="7D9FA7DF">
            <wp:simplePos x="0" y="0"/>
            <wp:positionH relativeFrom="column">
              <wp:posOffset>-521134</wp:posOffset>
            </wp:positionH>
            <wp:positionV relativeFrom="paragraph">
              <wp:posOffset>300942</wp:posOffset>
            </wp:positionV>
            <wp:extent cx="7014210" cy="3465195"/>
            <wp:effectExtent l="0" t="0" r="0" b="0"/>
            <wp:wrapSquare wrapText="bothSides"/>
            <wp:docPr id="674102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023" name="Picture 1" descr="A graph of different colored lin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14210" cy="3465195"/>
                    </a:xfrm>
                    <a:prstGeom prst="rect">
                      <a:avLst/>
                    </a:prstGeom>
                  </pic:spPr>
                </pic:pic>
              </a:graphicData>
            </a:graphic>
            <wp14:sizeRelH relativeFrom="margin">
              <wp14:pctWidth>0</wp14:pctWidth>
            </wp14:sizeRelH>
            <wp14:sizeRelV relativeFrom="margin">
              <wp14:pctHeight>0</wp14:pctHeight>
            </wp14:sizeRelV>
          </wp:anchor>
        </w:drawing>
      </w:r>
    </w:p>
    <w:p w14:paraId="31363F97" w14:textId="77777777" w:rsidR="003661E0" w:rsidRPr="005871E7" w:rsidRDefault="003661E0" w:rsidP="003661E0">
      <w:pPr>
        <w:pStyle w:val="Heading2"/>
        <w:spacing w:line="360" w:lineRule="auto"/>
        <w:jc w:val="both"/>
        <w:rPr>
          <w:rFonts w:ascii="Garamond" w:hAnsi="Garamond"/>
        </w:rPr>
      </w:pPr>
      <w:bookmarkStart w:id="49" w:name="_Toc201650805"/>
      <w:r w:rsidRPr="005871E7">
        <w:rPr>
          <w:rFonts w:ascii="Garamond" w:hAnsi="Garamond"/>
        </w:rPr>
        <w:lastRenderedPageBreak/>
        <w:t>Statistical Test for Difference in Coverage Across LGAs</w:t>
      </w:r>
      <w:bookmarkEnd w:id="49"/>
    </w:p>
    <w:p w14:paraId="093254DB" w14:textId="77777777" w:rsidR="003661E0" w:rsidRPr="005871E7" w:rsidRDefault="003661E0" w:rsidP="003661E0">
      <w:pPr>
        <w:pStyle w:val="FirstParagraph"/>
        <w:spacing w:line="360" w:lineRule="auto"/>
        <w:jc w:val="both"/>
        <w:rPr>
          <w:rFonts w:ascii="Garamond" w:hAnsi="Garamond"/>
        </w:rPr>
      </w:pPr>
      <w:r w:rsidRPr="005871E7">
        <w:rPr>
          <w:rFonts w:ascii="Garamond" w:hAnsi="Garamond"/>
        </w:rPr>
        <w:t>Pearson’s chi-squared tests were conducted to assess whether coverage rates for Vitamin A Supplementation (VAS), Deworming, MUAC screening, and Immunization differed significantly across Local Government Areas (LGAs) in Bauchi State.</w:t>
      </w:r>
    </w:p>
    <w:p w14:paraId="6AEE1698"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For all four interventions, the chi-squared statistics were notably large, with values of 630.91 for VAS (</w:t>
      </w:r>
      <w:proofErr w:type="spellStart"/>
      <w:r w:rsidRPr="005871E7">
        <w:rPr>
          <w:rFonts w:ascii="Garamond" w:hAnsi="Garamond"/>
        </w:rPr>
        <w:t>df</w:t>
      </w:r>
      <w:proofErr w:type="spellEnd"/>
      <w:r w:rsidRPr="005871E7">
        <w:rPr>
          <w:rFonts w:ascii="Garamond" w:hAnsi="Garamond"/>
        </w:rPr>
        <w:t xml:space="preserve"> = 19), 402.38 for Deworming (</w:t>
      </w:r>
      <w:proofErr w:type="spellStart"/>
      <w:r w:rsidRPr="005871E7">
        <w:rPr>
          <w:rFonts w:ascii="Garamond" w:hAnsi="Garamond"/>
        </w:rPr>
        <w:t>df</w:t>
      </w:r>
      <w:proofErr w:type="spellEnd"/>
      <w:r w:rsidRPr="005871E7">
        <w:rPr>
          <w:rFonts w:ascii="Garamond" w:hAnsi="Garamond"/>
        </w:rPr>
        <w:t xml:space="preserve"> = 19), 624.52 for MUAC screening (</w:t>
      </w:r>
      <w:proofErr w:type="spellStart"/>
      <w:r w:rsidRPr="005871E7">
        <w:rPr>
          <w:rFonts w:ascii="Garamond" w:hAnsi="Garamond"/>
        </w:rPr>
        <w:t>df</w:t>
      </w:r>
      <w:proofErr w:type="spellEnd"/>
      <w:r w:rsidRPr="005871E7">
        <w:rPr>
          <w:rFonts w:ascii="Garamond" w:hAnsi="Garamond"/>
        </w:rPr>
        <w:t xml:space="preserve"> = 19), and 138.08 for Immunization (</w:t>
      </w:r>
      <w:proofErr w:type="spellStart"/>
      <w:r w:rsidRPr="005871E7">
        <w:rPr>
          <w:rFonts w:ascii="Garamond" w:hAnsi="Garamond"/>
        </w:rPr>
        <w:t>df</w:t>
      </w:r>
      <w:proofErr w:type="spellEnd"/>
      <w:r w:rsidRPr="005871E7">
        <w:rPr>
          <w:rFonts w:ascii="Garamond" w:hAnsi="Garamond"/>
        </w:rPr>
        <w:t xml:space="preserve"> = 19). In each case, the associated p-value was less than 2.2e-16.</w:t>
      </w:r>
    </w:p>
    <w:p w14:paraId="4AE5B888"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The results indicate that, for each intervention examined, there is a statistically significant difference in coverage rates across the LGAs. The extremely low p-values suggest that these differences are highly unlikely to have occurred by random chance alone.</w:t>
      </w:r>
    </w:p>
    <w:p w14:paraId="2639C313" w14:textId="1F706097" w:rsidR="00AD7D88" w:rsidRPr="005871E7" w:rsidRDefault="006B151C" w:rsidP="006B151C">
      <w:pPr>
        <w:pStyle w:val="Heading3"/>
        <w:rPr>
          <w:rFonts w:ascii="Garamond" w:hAnsi="Garamond"/>
        </w:rPr>
      </w:pPr>
      <w:r>
        <w:rPr>
          <w:rFonts w:ascii="Garamond" w:hAnsi="Garamond"/>
        </w:rPr>
        <w:t xml:space="preserve">5.9.2 </w:t>
      </w:r>
      <w:r w:rsidR="00AD7D88" w:rsidRPr="005871E7">
        <w:rPr>
          <w:rFonts w:ascii="Garamond" w:hAnsi="Garamond"/>
        </w:rPr>
        <w:t>Women of Childbearing Age (15–49 years) Indicator analysis</w:t>
      </w:r>
    </w:p>
    <w:p w14:paraId="10FD7BA8" w14:textId="77777777" w:rsidR="00AD7D88" w:rsidRPr="005871E7" w:rsidRDefault="00AD7D88" w:rsidP="006B151C">
      <w:pPr>
        <w:pStyle w:val="Heading4"/>
        <w:spacing w:line="360" w:lineRule="auto"/>
        <w:jc w:val="both"/>
        <w:rPr>
          <w:rFonts w:ascii="Garamond" w:hAnsi="Garamond"/>
        </w:rPr>
      </w:pPr>
      <w:r w:rsidRPr="005871E7">
        <w:rPr>
          <w:rFonts w:ascii="Garamond" w:hAnsi="Garamond"/>
        </w:rPr>
        <w:t>Coverage of Key Maternal Health Interventions Among Women of Childbearing Age (15–49 years)</w:t>
      </w:r>
    </w:p>
    <w:p w14:paraId="677DA802" w14:textId="77777777" w:rsidR="00AD7D88" w:rsidRPr="005871E7" w:rsidRDefault="00AD7D88" w:rsidP="00AD7D88">
      <w:pPr>
        <w:pStyle w:val="Heading4"/>
        <w:spacing w:line="360" w:lineRule="auto"/>
        <w:jc w:val="both"/>
        <w:rPr>
          <w:rFonts w:ascii="Garamond" w:hAnsi="Garamond"/>
        </w:rPr>
      </w:pPr>
      <w:r w:rsidRPr="005871E7">
        <w:rPr>
          <w:rFonts w:ascii="Garamond" w:hAnsi="Garamond"/>
        </w:rPr>
        <w:t>Iron and Folic Acid Supplementation (IFAS)</w:t>
      </w:r>
    </w:p>
    <w:p w14:paraId="5AA3359C"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Among women of childbearing age, only 7.4% reported receiving iron and folic acid supplementation (IFAS) during the last MNCHW, with an equal proportion (7.4%) reporting that they did not receive IFAS. However, a large proportion of respondents (85.2%) had missing or unreported data for this question. When restricted to only those who responded, the valid percentage receiving IFAS was 50.1%.</w:t>
      </w:r>
    </w:p>
    <w:tbl>
      <w:tblPr>
        <w:tblStyle w:val="Table"/>
        <w:tblW w:w="0" w:type="auto"/>
        <w:tblLook w:val="0020" w:firstRow="1" w:lastRow="0" w:firstColumn="0" w:lastColumn="0" w:noHBand="0" w:noVBand="0"/>
      </w:tblPr>
      <w:tblGrid>
        <w:gridCol w:w="3284"/>
        <w:gridCol w:w="1189"/>
        <w:gridCol w:w="1321"/>
        <w:gridCol w:w="1871"/>
      </w:tblGrid>
      <w:tr w:rsidR="00AD7D88" w:rsidRPr="005871E7" w14:paraId="29BB1E86"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424C763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IFAS Received at Last MNCHW</w:t>
            </w:r>
          </w:p>
        </w:tc>
        <w:tc>
          <w:tcPr>
            <w:tcW w:w="0" w:type="auto"/>
          </w:tcPr>
          <w:p w14:paraId="0A5F0B73" w14:textId="1D668F61" w:rsidR="00AD7D88" w:rsidRPr="005871E7" w:rsidRDefault="00651AAF" w:rsidP="002C3392">
            <w:pPr>
              <w:pStyle w:val="Compact"/>
              <w:spacing w:line="360" w:lineRule="auto"/>
              <w:jc w:val="both"/>
              <w:rPr>
                <w:rFonts w:ascii="Garamond" w:hAnsi="Garamond"/>
              </w:rPr>
            </w:pPr>
            <w:r>
              <w:rPr>
                <w:rFonts w:ascii="Garamond" w:hAnsi="Garamond"/>
              </w:rPr>
              <w:t>Frequency</w:t>
            </w:r>
          </w:p>
        </w:tc>
        <w:tc>
          <w:tcPr>
            <w:tcW w:w="0" w:type="auto"/>
          </w:tcPr>
          <w:p w14:paraId="7B46DF7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c>
          <w:tcPr>
            <w:tcW w:w="0" w:type="auto"/>
          </w:tcPr>
          <w:p w14:paraId="68F8BEC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Valid Percent (%)</w:t>
            </w:r>
          </w:p>
        </w:tc>
      </w:tr>
      <w:tr w:rsidR="00AD7D88" w:rsidRPr="005871E7" w14:paraId="691DF8CA" w14:textId="77777777" w:rsidTr="002C3392">
        <w:tc>
          <w:tcPr>
            <w:tcW w:w="0" w:type="auto"/>
          </w:tcPr>
          <w:p w14:paraId="0A8ED2C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w:t>
            </w:r>
          </w:p>
        </w:tc>
        <w:tc>
          <w:tcPr>
            <w:tcW w:w="0" w:type="auto"/>
          </w:tcPr>
          <w:p w14:paraId="2439A6F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596</w:t>
            </w:r>
          </w:p>
        </w:tc>
        <w:tc>
          <w:tcPr>
            <w:tcW w:w="0" w:type="auto"/>
          </w:tcPr>
          <w:p w14:paraId="52C716D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7.4</w:t>
            </w:r>
          </w:p>
        </w:tc>
        <w:tc>
          <w:tcPr>
            <w:tcW w:w="0" w:type="auto"/>
          </w:tcPr>
          <w:p w14:paraId="3AC3158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49.9</w:t>
            </w:r>
          </w:p>
        </w:tc>
      </w:tr>
      <w:tr w:rsidR="00AD7D88" w:rsidRPr="005871E7" w14:paraId="0DC2B2B0" w14:textId="77777777" w:rsidTr="002C3392">
        <w:tc>
          <w:tcPr>
            <w:tcW w:w="0" w:type="auto"/>
          </w:tcPr>
          <w:p w14:paraId="3DDE5D4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0" w:type="auto"/>
          </w:tcPr>
          <w:p w14:paraId="16AD95A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598</w:t>
            </w:r>
          </w:p>
        </w:tc>
        <w:tc>
          <w:tcPr>
            <w:tcW w:w="0" w:type="auto"/>
          </w:tcPr>
          <w:p w14:paraId="1C541E1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7.4</w:t>
            </w:r>
          </w:p>
        </w:tc>
        <w:tc>
          <w:tcPr>
            <w:tcW w:w="0" w:type="auto"/>
          </w:tcPr>
          <w:p w14:paraId="6212FEB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50.1</w:t>
            </w:r>
          </w:p>
        </w:tc>
      </w:tr>
      <w:tr w:rsidR="00AD7D88" w:rsidRPr="005871E7" w14:paraId="797F2129" w14:textId="77777777" w:rsidTr="002C3392">
        <w:tc>
          <w:tcPr>
            <w:tcW w:w="0" w:type="auto"/>
          </w:tcPr>
          <w:p w14:paraId="014DB54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Missing/NA</w:t>
            </w:r>
          </w:p>
        </w:tc>
        <w:tc>
          <w:tcPr>
            <w:tcW w:w="0" w:type="auto"/>
          </w:tcPr>
          <w:p w14:paraId="1D2F0B4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6847</w:t>
            </w:r>
          </w:p>
        </w:tc>
        <w:tc>
          <w:tcPr>
            <w:tcW w:w="0" w:type="auto"/>
          </w:tcPr>
          <w:p w14:paraId="30D0710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85.2</w:t>
            </w:r>
          </w:p>
        </w:tc>
        <w:tc>
          <w:tcPr>
            <w:tcW w:w="0" w:type="auto"/>
          </w:tcPr>
          <w:p w14:paraId="478CA41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bl>
    <w:p w14:paraId="1D282984" w14:textId="77777777" w:rsidR="00AD7D88" w:rsidRPr="005871E7" w:rsidRDefault="00AD7D88" w:rsidP="00AD7D88">
      <w:pPr>
        <w:pStyle w:val="Heading4"/>
        <w:spacing w:line="360" w:lineRule="auto"/>
        <w:jc w:val="both"/>
        <w:rPr>
          <w:rFonts w:ascii="Garamond" w:hAnsi="Garamond"/>
        </w:rPr>
      </w:pPr>
      <w:r w:rsidRPr="005871E7">
        <w:rPr>
          <w:rFonts w:ascii="Garamond" w:hAnsi="Garamond"/>
        </w:rPr>
        <w:t>Tetanus Toxoid (TT) Receipt</w:t>
      </w:r>
    </w:p>
    <w:p w14:paraId="28CD7E1A"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A total of 36.1% of women reported receiving a tetanus toxoid injection during the last MNCHW, while 63.9% did not.</w:t>
      </w:r>
    </w:p>
    <w:tbl>
      <w:tblPr>
        <w:tblStyle w:val="Table"/>
        <w:tblW w:w="0" w:type="auto"/>
        <w:tblLook w:val="0020" w:firstRow="1" w:lastRow="0" w:firstColumn="0" w:lastColumn="0" w:noHBand="0" w:noVBand="0"/>
      </w:tblPr>
      <w:tblGrid>
        <w:gridCol w:w="3081"/>
        <w:gridCol w:w="1189"/>
        <w:gridCol w:w="1321"/>
      </w:tblGrid>
      <w:tr w:rsidR="00AD7D88" w:rsidRPr="005871E7" w14:paraId="675C507E"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6E6B7A6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TT Received at Last MNCHW</w:t>
            </w:r>
          </w:p>
        </w:tc>
        <w:tc>
          <w:tcPr>
            <w:tcW w:w="0" w:type="auto"/>
          </w:tcPr>
          <w:p w14:paraId="2C4445F2" w14:textId="6A057FC4" w:rsidR="00AD7D88" w:rsidRPr="005871E7" w:rsidRDefault="00651AAF" w:rsidP="002C3392">
            <w:pPr>
              <w:pStyle w:val="Compact"/>
              <w:spacing w:line="360" w:lineRule="auto"/>
              <w:jc w:val="both"/>
              <w:rPr>
                <w:rFonts w:ascii="Garamond" w:hAnsi="Garamond"/>
              </w:rPr>
            </w:pPr>
            <w:r>
              <w:rPr>
                <w:rFonts w:ascii="Garamond" w:hAnsi="Garamond"/>
              </w:rPr>
              <w:t>Frequency</w:t>
            </w:r>
          </w:p>
        </w:tc>
        <w:tc>
          <w:tcPr>
            <w:tcW w:w="0" w:type="auto"/>
          </w:tcPr>
          <w:p w14:paraId="523C1E1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r>
      <w:tr w:rsidR="00AD7D88" w:rsidRPr="005871E7" w14:paraId="30E8F474" w14:textId="77777777" w:rsidTr="002C3392">
        <w:tc>
          <w:tcPr>
            <w:tcW w:w="0" w:type="auto"/>
          </w:tcPr>
          <w:p w14:paraId="5B88EBA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lastRenderedPageBreak/>
              <w:t>No</w:t>
            </w:r>
          </w:p>
        </w:tc>
        <w:tc>
          <w:tcPr>
            <w:tcW w:w="0" w:type="auto"/>
          </w:tcPr>
          <w:p w14:paraId="2EC6605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5139</w:t>
            </w:r>
          </w:p>
        </w:tc>
        <w:tc>
          <w:tcPr>
            <w:tcW w:w="0" w:type="auto"/>
          </w:tcPr>
          <w:p w14:paraId="0B6B5D5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63.9</w:t>
            </w:r>
          </w:p>
        </w:tc>
      </w:tr>
      <w:tr w:rsidR="00AD7D88" w:rsidRPr="005871E7" w14:paraId="04B92F1E" w14:textId="77777777" w:rsidTr="002C3392">
        <w:tc>
          <w:tcPr>
            <w:tcW w:w="0" w:type="auto"/>
          </w:tcPr>
          <w:p w14:paraId="73F6C6C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0" w:type="auto"/>
          </w:tcPr>
          <w:p w14:paraId="5D359D4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2902</w:t>
            </w:r>
          </w:p>
        </w:tc>
        <w:tc>
          <w:tcPr>
            <w:tcW w:w="0" w:type="auto"/>
          </w:tcPr>
          <w:p w14:paraId="6CE0BCD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36.1</w:t>
            </w:r>
          </w:p>
        </w:tc>
      </w:tr>
    </w:tbl>
    <w:p w14:paraId="4F514F90" w14:textId="77777777" w:rsidR="00AD7D88" w:rsidRPr="005871E7" w:rsidRDefault="00AD7D88" w:rsidP="00AD7D88">
      <w:pPr>
        <w:pStyle w:val="Heading4"/>
        <w:spacing w:line="360" w:lineRule="auto"/>
        <w:jc w:val="both"/>
        <w:rPr>
          <w:rFonts w:ascii="Garamond" w:hAnsi="Garamond"/>
        </w:rPr>
      </w:pPr>
      <w:r w:rsidRPr="005871E7">
        <w:rPr>
          <w:rFonts w:ascii="Garamond" w:hAnsi="Garamond"/>
        </w:rPr>
        <w:t>Antenatal and Postnatal Care (ANC/PNC) Services</w:t>
      </w:r>
    </w:p>
    <w:p w14:paraId="7D6633F5"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Regarding ANC services, 13.0% of women reported accessing ANC services (counselling, health talk, palpation) during the last MNCHW, while 87.0% did not. However, a large share (65.2%) did not answer this question. For PNC, only 4.3% of valid responses indicated receipt of postnatal care, and 95.7% indicated they did not; again, </w:t>
      </w:r>
      <w:proofErr w:type="gramStart"/>
      <w:r w:rsidRPr="005871E7">
        <w:rPr>
          <w:rFonts w:ascii="Garamond" w:hAnsi="Garamond"/>
        </w:rPr>
        <w:t>a majority of</w:t>
      </w:r>
      <w:proofErr w:type="gramEnd"/>
      <w:r w:rsidRPr="005871E7">
        <w:rPr>
          <w:rFonts w:ascii="Garamond" w:hAnsi="Garamond"/>
        </w:rPr>
        <w:t xml:space="preserve"> cases (65.2%) were missing or unreported.</w:t>
      </w:r>
    </w:p>
    <w:tbl>
      <w:tblPr>
        <w:tblStyle w:val="Table"/>
        <w:tblW w:w="0" w:type="auto"/>
        <w:tblLook w:val="0020" w:firstRow="1" w:lastRow="0" w:firstColumn="0" w:lastColumn="0" w:noHBand="0" w:noVBand="0"/>
      </w:tblPr>
      <w:tblGrid>
        <w:gridCol w:w="3199"/>
        <w:gridCol w:w="1189"/>
        <w:gridCol w:w="1321"/>
        <w:gridCol w:w="1871"/>
      </w:tblGrid>
      <w:tr w:rsidR="00AD7D88" w:rsidRPr="005871E7" w14:paraId="645333E7"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4E4266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ANC Services at Last MNCHW</w:t>
            </w:r>
          </w:p>
        </w:tc>
        <w:tc>
          <w:tcPr>
            <w:tcW w:w="0" w:type="auto"/>
          </w:tcPr>
          <w:p w14:paraId="4FA13220" w14:textId="6FF59D0D" w:rsidR="00AD7D88" w:rsidRPr="005871E7" w:rsidRDefault="00651AAF" w:rsidP="002C3392">
            <w:pPr>
              <w:pStyle w:val="Compact"/>
              <w:spacing w:line="360" w:lineRule="auto"/>
              <w:jc w:val="both"/>
              <w:rPr>
                <w:rFonts w:ascii="Garamond" w:hAnsi="Garamond"/>
              </w:rPr>
            </w:pPr>
            <w:r>
              <w:rPr>
                <w:rFonts w:ascii="Garamond" w:hAnsi="Garamond"/>
              </w:rPr>
              <w:t>Frequency</w:t>
            </w:r>
          </w:p>
        </w:tc>
        <w:tc>
          <w:tcPr>
            <w:tcW w:w="0" w:type="auto"/>
          </w:tcPr>
          <w:p w14:paraId="760CDC2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c>
          <w:tcPr>
            <w:tcW w:w="0" w:type="auto"/>
          </w:tcPr>
          <w:p w14:paraId="6665A40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Valid Percent (%)</w:t>
            </w:r>
          </w:p>
        </w:tc>
      </w:tr>
      <w:tr w:rsidR="00AD7D88" w:rsidRPr="005871E7" w14:paraId="1D425615" w14:textId="77777777" w:rsidTr="002C3392">
        <w:tc>
          <w:tcPr>
            <w:tcW w:w="0" w:type="auto"/>
          </w:tcPr>
          <w:p w14:paraId="66FB130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w:t>
            </w:r>
          </w:p>
        </w:tc>
        <w:tc>
          <w:tcPr>
            <w:tcW w:w="0" w:type="auto"/>
          </w:tcPr>
          <w:p w14:paraId="4917271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2437</w:t>
            </w:r>
          </w:p>
        </w:tc>
        <w:tc>
          <w:tcPr>
            <w:tcW w:w="0" w:type="auto"/>
          </w:tcPr>
          <w:p w14:paraId="1843E59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30.3</w:t>
            </w:r>
          </w:p>
        </w:tc>
        <w:tc>
          <w:tcPr>
            <w:tcW w:w="0" w:type="auto"/>
          </w:tcPr>
          <w:p w14:paraId="7FCAAC5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87.0</w:t>
            </w:r>
          </w:p>
        </w:tc>
      </w:tr>
      <w:tr w:rsidR="00AD7D88" w:rsidRPr="005871E7" w14:paraId="36B50CFA" w14:textId="77777777" w:rsidTr="002C3392">
        <w:tc>
          <w:tcPr>
            <w:tcW w:w="0" w:type="auto"/>
          </w:tcPr>
          <w:p w14:paraId="14ED1A6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0" w:type="auto"/>
          </w:tcPr>
          <w:p w14:paraId="671AB2C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365</w:t>
            </w:r>
          </w:p>
        </w:tc>
        <w:tc>
          <w:tcPr>
            <w:tcW w:w="0" w:type="auto"/>
          </w:tcPr>
          <w:p w14:paraId="0649D34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4.5</w:t>
            </w:r>
          </w:p>
        </w:tc>
        <w:tc>
          <w:tcPr>
            <w:tcW w:w="0" w:type="auto"/>
          </w:tcPr>
          <w:p w14:paraId="593A900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13.0</w:t>
            </w:r>
          </w:p>
        </w:tc>
      </w:tr>
      <w:tr w:rsidR="00AD7D88" w:rsidRPr="005871E7" w14:paraId="2ACAC9C8" w14:textId="77777777" w:rsidTr="002C3392">
        <w:tc>
          <w:tcPr>
            <w:tcW w:w="0" w:type="auto"/>
          </w:tcPr>
          <w:p w14:paraId="5ABFACE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Missing/NA</w:t>
            </w:r>
          </w:p>
        </w:tc>
        <w:tc>
          <w:tcPr>
            <w:tcW w:w="0" w:type="auto"/>
          </w:tcPr>
          <w:p w14:paraId="065840A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5239</w:t>
            </w:r>
          </w:p>
        </w:tc>
        <w:tc>
          <w:tcPr>
            <w:tcW w:w="0" w:type="auto"/>
          </w:tcPr>
          <w:p w14:paraId="02B6203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65.2</w:t>
            </w:r>
          </w:p>
        </w:tc>
        <w:tc>
          <w:tcPr>
            <w:tcW w:w="0" w:type="auto"/>
          </w:tcPr>
          <w:p w14:paraId="1FFF938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bl>
    <w:p w14:paraId="40ABC92F" w14:textId="77777777" w:rsidR="00AD7D88" w:rsidRPr="005871E7" w:rsidRDefault="00AD7D88" w:rsidP="00AD7D88">
      <w:pPr>
        <w:spacing w:line="360" w:lineRule="auto"/>
        <w:jc w:val="both"/>
        <w:rPr>
          <w:rFonts w:ascii="Garamond" w:hAnsi="Garamond"/>
        </w:rPr>
      </w:pPr>
    </w:p>
    <w:tbl>
      <w:tblPr>
        <w:tblStyle w:val="Table"/>
        <w:tblW w:w="0" w:type="auto"/>
        <w:tblLook w:val="0020" w:firstRow="1" w:lastRow="0" w:firstColumn="0" w:lastColumn="0" w:noHBand="0" w:noVBand="0"/>
      </w:tblPr>
      <w:tblGrid>
        <w:gridCol w:w="3171"/>
        <w:gridCol w:w="1189"/>
        <w:gridCol w:w="1321"/>
        <w:gridCol w:w="1871"/>
      </w:tblGrid>
      <w:tr w:rsidR="00AD7D88" w:rsidRPr="005871E7" w14:paraId="21BCAE65"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1951ED8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PNC Services at Last MNCHW</w:t>
            </w:r>
          </w:p>
        </w:tc>
        <w:tc>
          <w:tcPr>
            <w:tcW w:w="0" w:type="auto"/>
          </w:tcPr>
          <w:p w14:paraId="77118178" w14:textId="0A1EC0CB" w:rsidR="00AD7D88" w:rsidRPr="005871E7" w:rsidRDefault="00651AAF" w:rsidP="002C3392">
            <w:pPr>
              <w:pStyle w:val="Compact"/>
              <w:spacing w:line="360" w:lineRule="auto"/>
              <w:jc w:val="both"/>
              <w:rPr>
                <w:rFonts w:ascii="Garamond" w:hAnsi="Garamond"/>
              </w:rPr>
            </w:pPr>
            <w:r>
              <w:rPr>
                <w:rFonts w:ascii="Garamond" w:hAnsi="Garamond"/>
              </w:rPr>
              <w:t>Frequency</w:t>
            </w:r>
          </w:p>
        </w:tc>
        <w:tc>
          <w:tcPr>
            <w:tcW w:w="0" w:type="auto"/>
          </w:tcPr>
          <w:p w14:paraId="75A0D25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c>
          <w:tcPr>
            <w:tcW w:w="0" w:type="auto"/>
          </w:tcPr>
          <w:p w14:paraId="35B2A6F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Valid Percent (%)</w:t>
            </w:r>
          </w:p>
        </w:tc>
      </w:tr>
      <w:tr w:rsidR="00AD7D88" w:rsidRPr="005871E7" w14:paraId="413FD5D1" w14:textId="77777777" w:rsidTr="002C3392">
        <w:tc>
          <w:tcPr>
            <w:tcW w:w="0" w:type="auto"/>
          </w:tcPr>
          <w:p w14:paraId="5E7B2FE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w:t>
            </w:r>
          </w:p>
        </w:tc>
        <w:tc>
          <w:tcPr>
            <w:tcW w:w="0" w:type="auto"/>
          </w:tcPr>
          <w:p w14:paraId="36E9C19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2681</w:t>
            </w:r>
          </w:p>
        </w:tc>
        <w:tc>
          <w:tcPr>
            <w:tcW w:w="0" w:type="auto"/>
          </w:tcPr>
          <w:p w14:paraId="40B5277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33.3</w:t>
            </w:r>
          </w:p>
        </w:tc>
        <w:tc>
          <w:tcPr>
            <w:tcW w:w="0" w:type="auto"/>
          </w:tcPr>
          <w:p w14:paraId="00B8812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95.7</w:t>
            </w:r>
          </w:p>
        </w:tc>
      </w:tr>
      <w:tr w:rsidR="00AD7D88" w:rsidRPr="005871E7" w14:paraId="61ADBB77" w14:textId="77777777" w:rsidTr="002C3392">
        <w:tc>
          <w:tcPr>
            <w:tcW w:w="0" w:type="auto"/>
          </w:tcPr>
          <w:p w14:paraId="48FA773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0" w:type="auto"/>
          </w:tcPr>
          <w:p w14:paraId="4BBB3D9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121</w:t>
            </w:r>
          </w:p>
        </w:tc>
        <w:tc>
          <w:tcPr>
            <w:tcW w:w="0" w:type="auto"/>
          </w:tcPr>
          <w:p w14:paraId="6936727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1.5</w:t>
            </w:r>
          </w:p>
        </w:tc>
        <w:tc>
          <w:tcPr>
            <w:tcW w:w="0" w:type="auto"/>
          </w:tcPr>
          <w:p w14:paraId="68D22A4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4.3</w:t>
            </w:r>
          </w:p>
        </w:tc>
      </w:tr>
      <w:tr w:rsidR="00AD7D88" w:rsidRPr="005871E7" w14:paraId="0FB79E67" w14:textId="77777777" w:rsidTr="002C3392">
        <w:tc>
          <w:tcPr>
            <w:tcW w:w="0" w:type="auto"/>
          </w:tcPr>
          <w:p w14:paraId="60FDA8D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Missing/NA</w:t>
            </w:r>
          </w:p>
        </w:tc>
        <w:tc>
          <w:tcPr>
            <w:tcW w:w="0" w:type="auto"/>
          </w:tcPr>
          <w:p w14:paraId="7E43D79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5239</w:t>
            </w:r>
          </w:p>
        </w:tc>
        <w:tc>
          <w:tcPr>
            <w:tcW w:w="0" w:type="auto"/>
          </w:tcPr>
          <w:p w14:paraId="0BB2834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65.2</w:t>
            </w:r>
          </w:p>
        </w:tc>
        <w:tc>
          <w:tcPr>
            <w:tcW w:w="0" w:type="auto"/>
          </w:tcPr>
          <w:p w14:paraId="5A627F3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bl>
    <w:p w14:paraId="12449017" w14:textId="77777777" w:rsidR="00AD7D88" w:rsidRPr="005871E7" w:rsidRDefault="00AD7D88" w:rsidP="00AD7D88">
      <w:pPr>
        <w:pStyle w:val="Heading4"/>
        <w:spacing w:line="360" w:lineRule="auto"/>
        <w:jc w:val="both"/>
        <w:rPr>
          <w:rFonts w:ascii="Garamond" w:hAnsi="Garamond"/>
        </w:rPr>
      </w:pPr>
      <w:r w:rsidRPr="005871E7">
        <w:rPr>
          <w:rFonts w:ascii="Garamond" w:hAnsi="Garamond"/>
        </w:rPr>
        <w:t>Source of Service for IFAS</w:t>
      </w:r>
    </w:p>
    <w:p w14:paraId="6B587E72"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Almost all respondents (99.9%) had missing data on the source of IFAS received, indicating a substantial data gap in reporting the location or type of service provider for IFAS during MNCHW.</w:t>
      </w:r>
    </w:p>
    <w:p w14:paraId="2269D7FD" w14:textId="283CF054" w:rsidR="00AD7D88" w:rsidRPr="005871E7" w:rsidRDefault="00E50712" w:rsidP="00AD7D88">
      <w:pPr>
        <w:pStyle w:val="BodyText"/>
        <w:spacing w:line="360" w:lineRule="auto"/>
        <w:jc w:val="both"/>
        <w:rPr>
          <w:rFonts w:ascii="Garamond" w:hAnsi="Garamond"/>
        </w:rPr>
      </w:pPr>
      <w:r>
        <w:rPr>
          <w:rFonts w:ascii="Garamond" w:hAnsi="Garamond"/>
        </w:rPr>
        <w:t>T</w:t>
      </w:r>
      <w:r w:rsidR="00AD7D88" w:rsidRPr="005871E7">
        <w:rPr>
          <w:rFonts w:ascii="Garamond" w:hAnsi="Garamond"/>
        </w:rPr>
        <w:t xml:space="preserve">he findings highlight low reported coverage of key maternal health interventions among women of childbearing age during the last MNCHW, with only about one-third of women receiving tetanus toxoid and a very small proportion reporting receipt of iron/folic acid, ANC, or PNC services. The high rate of missing responses for these indicators suggests possible challenges in data collection or </w:t>
      </w:r>
      <w:proofErr w:type="gramStart"/>
      <w:r w:rsidR="00AD7D88" w:rsidRPr="005871E7">
        <w:rPr>
          <w:rFonts w:ascii="Garamond" w:hAnsi="Garamond"/>
        </w:rPr>
        <w:t>recall, and</w:t>
      </w:r>
      <w:proofErr w:type="gramEnd"/>
      <w:r w:rsidR="00AD7D88" w:rsidRPr="005871E7">
        <w:rPr>
          <w:rFonts w:ascii="Garamond" w:hAnsi="Garamond"/>
        </w:rPr>
        <w:t xml:space="preserve"> warrants cautious interpretation of the estimates. Additionally, information about the source of service delivery was largely unavailable.</w:t>
      </w:r>
    </w:p>
    <w:p w14:paraId="518FD9BA" w14:textId="2FBDEC93" w:rsidR="00AD7D88" w:rsidRPr="005871E7" w:rsidRDefault="00E50712" w:rsidP="00AD7D88">
      <w:pPr>
        <w:pStyle w:val="BodyText"/>
        <w:spacing w:line="360" w:lineRule="auto"/>
        <w:jc w:val="both"/>
        <w:rPr>
          <w:rFonts w:ascii="Garamond" w:hAnsi="Garamond"/>
        </w:rPr>
      </w:pPr>
      <w:r>
        <w:rPr>
          <w:rFonts w:ascii="Garamond" w:hAnsi="Garamond"/>
          <w:b/>
          <w:bCs/>
        </w:rPr>
        <w:t>Summary</w:t>
      </w:r>
      <w:r w:rsidR="00AD7D88" w:rsidRPr="005871E7">
        <w:rPr>
          <w:rFonts w:ascii="Garamond" w:hAnsi="Garamond"/>
          <w:b/>
          <w:bCs/>
        </w:rPr>
        <w:t xml:space="preserve"> table </w:t>
      </w:r>
      <w:r>
        <w:rPr>
          <w:rFonts w:ascii="Garamond" w:hAnsi="Garamond"/>
          <w:b/>
          <w:bCs/>
        </w:rPr>
        <w:t>for</w:t>
      </w:r>
      <w:r w:rsidR="00AD7D88" w:rsidRPr="005871E7">
        <w:rPr>
          <w:rFonts w:ascii="Garamond" w:hAnsi="Garamond"/>
          <w:b/>
          <w:bCs/>
        </w:rPr>
        <w:t xml:space="preserve"> Indicators for Women of Childbearing Age (15–49 years</w:t>
      </w:r>
    </w:p>
    <w:tbl>
      <w:tblPr>
        <w:tblStyle w:val="Table"/>
        <w:tblW w:w="5000" w:type="pct"/>
        <w:tblLayout w:type="fixed"/>
        <w:tblLook w:val="0020" w:firstRow="1" w:lastRow="0" w:firstColumn="0" w:lastColumn="0" w:noHBand="0" w:noVBand="0"/>
      </w:tblPr>
      <w:tblGrid>
        <w:gridCol w:w="6506"/>
        <w:gridCol w:w="1625"/>
        <w:gridCol w:w="1445"/>
      </w:tblGrid>
      <w:tr w:rsidR="00AD7D88" w:rsidRPr="005871E7" w14:paraId="15500BBA"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5379" w:type="dxa"/>
          </w:tcPr>
          <w:p w14:paraId="16A0A61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lastRenderedPageBreak/>
              <w:t>Indicator</w:t>
            </w:r>
          </w:p>
        </w:tc>
        <w:tc>
          <w:tcPr>
            <w:tcW w:w="1344" w:type="dxa"/>
          </w:tcPr>
          <w:p w14:paraId="2C107AF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 (%)</w:t>
            </w:r>
          </w:p>
        </w:tc>
        <w:tc>
          <w:tcPr>
            <w:tcW w:w="1195" w:type="dxa"/>
          </w:tcPr>
          <w:p w14:paraId="0F4997C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 (%)</w:t>
            </w:r>
          </w:p>
        </w:tc>
      </w:tr>
      <w:tr w:rsidR="00AD7D88" w:rsidRPr="005871E7" w14:paraId="6DE7B6B8" w14:textId="77777777" w:rsidTr="002C3392">
        <w:tc>
          <w:tcPr>
            <w:tcW w:w="5379" w:type="dxa"/>
          </w:tcPr>
          <w:p w14:paraId="3ADEAA0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Received iron and folic acid (IFAS) during last MNCHW</w:t>
            </w:r>
          </w:p>
        </w:tc>
        <w:tc>
          <w:tcPr>
            <w:tcW w:w="1344" w:type="dxa"/>
          </w:tcPr>
          <w:p w14:paraId="0B2D7EA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7.4</w:t>
            </w:r>
          </w:p>
        </w:tc>
        <w:tc>
          <w:tcPr>
            <w:tcW w:w="1195" w:type="dxa"/>
          </w:tcPr>
          <w:p w14:paraId="6B60714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7.4</w:t>
            </w:r>
          </w:p>
        </w:tc>
      </w:tr>
      <w:tr w:rsidR="00AD7D88" w:rsidRPr="005871E7" w14:paraId="11254D8C" w14:textId="77777777" w:rsidTr="002C3392">
        <w:tc>
          <w:tcPr>
            <w:tcW w:w="5379" w:type="dxa"/>
          </w:tcPr>
          <w:p w14:paraId="6D59949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Received tetanus toxoid (TT)</w:t>
            </w:r>
          </w:p>
        </w:tc>
        <w:tc>
          <w:tcPr>
            <w:tcW w:w="1344" w:type="dxa"/>
          </w:tcPr>
          <w:p w14:paraId="20A59C4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36.1</w:t>
            </w:r>
          </w:p>
        </w:tc>
        <w:tc>
          <w:tcPr>
            <w:tcW w:w="1195" w:type="dxa"/>
          </w:tcPr>
          <w:p w14:paraId="0C681CC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63.9</w:t>
            </w:r>
          </w:p>
        </w:tc>
      </w:tr>
      <w:tr w:rsidR="00AD7D88" w:rsidRPr="005871E7" w14:paraId="4A24BBBF" w14:textId="77777777" w:rsidTr="002C3392">
        <w:tc>
          <w:tcPr>
            <w:tcW w:w="5379" w:type="dxa"/>
          </w:tcPr>
          <w:p w14:paraId="5F1CB75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Received ANC services</w:t>
            </w:r>
          </w:p>
        </w:tc>
        <w:tc>
          <w:tcPr>
            <w:tcW w:w="1344" w:type="dxa"/>
          </w:tcPr>
          <w:p w14:paraId="6BB3843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4.5</w:t>
            </w:r>
          </w:p>
        </w:tc>
        <w:tc>
          <w:tcPr>
            <w:tcW w:w="1195" w:type="dxa"/>
          </w:tcPr>
          <w:p w14:paraId="60E4F1F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30.3</w:t>
            </w:r>
          </w:p>
        </w:tc>
      </w:tr>
      <w:tr w:rsidR="00AD7D88" w:rsidRPr="005871E7" w14:paraId="35ABB652" w14:textId="77777777" w:rsidTr="002C3392">
        <w:tc>
          <w:tcPr>
            <w:tcW w:w="5379" w:type="dxa"/>
          </w:tcPr>
          <w:p w14:paraId="7E436EB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Received PNC services</w:t>
            </w:r>
          </w:p>
        </w:tc>
        <w:tc>
          <w:tcPr>
            <w:tcW w:w="1344" w:type="dxa"/>
          </w:tcPr>
          <w:p w14:paraId="7BFC5F7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1.5</w:t>
            </w:r>
          </w:p>
        </w:tc>
        <w:tc>
          <w:tcPr>
            <w:tcW w:w="1195" w:type="dxa"/>
          </w:tcPr>
          <w:p w14:paraId="1BE830F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33.3</w:t>
            </w:r>
          </w:p>
        </w:tc>
      </w:tr>
    </w:tbl>
    <w:p w14:paraId="562DA81A" w14:textId="634A5D84" w:rsidR="00EA751D" w:rsidRDefault="006B151C" w:rsidP="006B151C">
      <w:pPr>
        <w:pStyle w:val="BodyText"/>
        <w:spacing w:line="360" w:lineRule="auto"/>
        <w:jc w:val="both"/>
        <w:outlineLvl w:val="1"/>
        <w:rPr>
          <w:rFonts w:ascii="Garamond" w:hAnsi="Garamond"/>
          <w:b/>
          <w:bCs/>
        </w:rPr>
      </w:pPr>
      <w:bookmarkStart w:id="50" w:name="Xaa55a41e03c2eb293ed3402fc97fd4b95b3c649"/>
      <w:bookmarkStart w:id="51" w:name="_Toc201650806"/>
      <w:r>
        <w:rPr>
          <w:rFonts w:ascii="Garamond" w:hAnsi="Garamond"/>
          <w:b/>
          <w:bCs/>
          <w:lang w:val="en-GB"/>
        </w:rPr>
        <w:t xml:space="preserve">5.10 </w:t>
      </w:r>
      <w:r w:rsidR="00AD7D88" w:rsidRPr="00EA751D">
        <w:rPr>
          <w:rFonts w:ascii="Garamond" w:hAnsi="Garamond"/>
          <w:b/>
          <w:bCs/>
          <w:lang w:val="en-GB"/>
        </w:rPr>
        <w:t xml:space="preserve">Objective 2: </w:t>
      </w:r>
      <w:r w:rsidR="00EA751D" w:rsidRPr="002C7E4D">
        <w:rPr>
          <w:rFonts w:ascii="Garamond" w:hAnsi="Garamond"/>
          <w:b/>
          <w:bCs/>
        </w:rPr>
        <w:t>To assess health workers’ and policy makers’ perceptions of the effect of removing VAS from MNCHW on the demand for and uptake of MNCHW interventions.</w:t>
      </w:r>
      <w:bookmarkEnd w:id="51"/>
    </w:p>
    <w:p w14:paraId="29141EC9" w14:textId="798749F8" w:rsidR="00AD7D88" w:rsidRPr="005871E7" w:rsidRDefault="00AD7D88" w:rsidP="00EA751D">
      <w:pPr>
        <w:pStyle w:val="BodyText"/>
        <w:spacing w:line="360" w:lineRule="auto"/>
        <w:jc w:val="both"/>
        <w:rPr>
          <w:rFonts w:ascii="Garamond" w:hAnsi="Garamond"/>
        </w:rPr>
      </w:pPr>
      <w:r w:rsidRPr="005871E7">
        <w:rPr>
          <w:rFonts w:ascii="Garamond" w:hAnsi="Garamond"/>
        </w:rPr>
        <w:t>This section assesses only the quantitative evidence regarding the perceived impact of removing Vitamin A Supplementation (VAS) from Maternal, Newborn, and Child Health Weeks (MNCHW) on the demand for, and uptake of, MNCHW interventions.</w:t>
      </w:r>
    </w:p>
    <w:p w14:paraId="03EDC430" w14:textId="0F9E0FC7" w:rsidR="00AD7D88" w:rsidRPr="005871E7" w:rsidRDefault="006B151C" w:rsidP="006B151C">
      <w:pPr>
        <w:pStyle w:val="Heading3"/>
        <w:rPr>
          <w:rFonts w:ascii="Garamond" w:hAnsi="Garamond"/>
        </w:rPr>
      </w:pPr>
      <w:bookmarkStart w:id="52" w:name="caregiver-knowledge-and-perceptions"/>
      <w:r>
        <w:rPr>
          <w:rFonts w:ascii="Garamond" w:hAnsi="Garamond"/>
        </w:rPr>
        <w:t>5.10.1</w:t>
      </w:r>
      <w:r w:rsidR="00AD7D88" w:rsidRPr="005871E7">
        <w:rPr>
          <w:rFonts w:ascii="Garamond" w:hAnsi="Garamond"/>
        </w:rPr>
        <w:t xml:space="preserve"> Caregiver Knowledge and Perceptions</w:t>
      </w:r>
    </w:p>
    <w:p w14:paraId="538C1DA2" w14:textId="77777777" w:rsidR="00AD7D88" w:rsidRPr="006B151C" w:rsidRDefault="00AD7D88" w:rsidP="006B151C">
      <w:pPr>
        <w:rPr>
          <w:rFonts w:ascii="Garamond" w:hAnsi="Garamond"/>
          <w:i/>
          <w:iCs/>
        </w:rPr>
      </w:pPr>
      <w:bookmarkStart w:id="53" w:name="awareness-of-mnchw-smc-and-vas"/>
      <w:r w:rsidRPr="006B151C">
        <w:rPr>
          <w:rFonts w:ascii="Garamond" w:hAnsi="Garamond"/>
          <w:i/>
          <w:iCs/>
        </w:rPr>
        <w:t>Awareness of MNCHW, SMC, and VAS</w:t>
      </w:r>
    </w:p>
    <w:p w14:paraId="33833789" w14:textId="6FF34728" w:rsidR="00EA751D" w:rsidRPr="00EA751D" w:rsidRDefault="00EA751D" w:rsidP="00EA751D">
      <w:pPr>
        <w:pStyle w:val="BodyText"/>
        <w:spacing w:line="360" w:lineRule="auto"/>
        <w:jc w:val="both"/>
        <w:rPr>
          <w:rFonts w:ascii="Garamond" w:hAnsi="Garamond"/>
        </w:rPr>
      </w:pPr>
      <w:r w:rsidRPr="00EA751D">
        <w:rPr>
          <w:rFonts w:ascii="Garamond" w:hAnsi="Garamond"/>
        </w:rPr>
        <w:t>The table reflects the level of awareness among caregivers regarding three critical child and maternal health interventions:</w:t>
      </w:r>
    </w:p>
    <w:tbl>
      <w:tblPr>
        <w:tblStyle w:val="Table"/>
        <w:tblW w:w="0" w:type="auto"/>
        <w:tblLook w:val="0020" w:firstRow="1" w:lastRow="0" w:firstColumn="0" w:lastColumn="0" w:noHBand="0" w:noVBand="0"/>
      </w:tblPr>
      <w:tblGrid>
        <w:gridCol w:w="1149"/>
        <w:gridCol w:w="1214"/>
        <w:gridCol w:w="1651"/>
      </w:tblGrid>
      <w:tr w:rsidR="00AD7D88" w:rsidRPr="005871E7" w14:paraId="578FCBFC"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4159B28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Indicator</w:t>
            </w:r>
          </w:p>
        </w:tc>
        <w:tc>
          <w:tcPr>
            <w:tcW w:w="0" w:type="auto"/>
          </w:tcPr>
          <w:p w14:paraId="2922EDB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Aware (%)</w:t>
            </w:r>
          </w:p>
        </w:tc>
        <w:tc>
          <w:tcPr>
            <w:tcW w:w="0" w:type="auto"/>
          </w:tcPr>
          <w:p w14:paraId="3C0644F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Not Aware (%)</w:t>
            </w:r>
          </w:p>
        </w:tc>
      </w:tr>
      <w:tr w:rsidR="00AD7D88" w:rsidRPr="005871E7" w14:paraId="2C626CDA" w14:textId="77777777" w:rsidTr="002C3392">
        <w:tc>
          <w:tcPr>
            <w:tcW w:w="0" w:type="auto"/>
          </w:tcPr>
          <w:p w14:paraId="429154B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MNCHW</w:t>
            </w:r>
          </w:p>
        </w:tc>
        <w:tc>
          <w:tcPr>
            <w:tcW w:w="0" w:type="auto"/>
          </w:tcPr>
          <w:p w14:paraId="5C6CE0D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34.0</w:t>
            </w:r>
          </w:p>
        </w:tc>
        <w:tc>
          <w:tcPr>
            <w:tcW w:w="0" w:type="auto"/>
          </w:tcPr>
          <w:p w14:paraId="57F9FCC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66.0</w:t>
            </w:r>
          </w:p>
        </w:tc>
      </w:tr>
      <w:tr w:rsidR="00AD7D88" w:rsidRPr="005871E7" w14:paraId="4FA0685F" w14:textId="77777777" w:rsidTr="002C3392">
        <w:tc>
          <w:tcPr>
            <w:tcW w:w="0" w:type="auto"/>
          </w:tcPr>
          <w:p w14:paraId="56F6C0E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SMC</w:t>
            </w:r>
          </w:p>
        </w:tc>
        <w:tc>
          <w:tcPr>
            <w:tcW w:w="0" w:type="auto"/>
          </w:tcPr>
          <w:p w14:paraId="5352883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c>
          <w:tcPr>
            <w:tcW w:w="0" w:type="auto"/>
          </w:tcPr>
          <w:p w14:paraId="203FEE2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r w:rsidR="00AD7D88" w:rsidRPr="005871E7" w14:paraId="0120704E" w14:textId="77777777" w:rsidTr="002C3392">
        <w:tc>
          <w:tcPr>
            <w:tcW w:w="0" w:type="auto"/>
          </w:tcPr>
          <w:p w14:paraId="57D0D74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VAS</w:t>
            </w:r>
          </w:p>
        </w:tc>
        <w:tc>
          <w:tcPr>
            <w:tcW w:w="0" w:type="auto"/>
          </w:tcPr>
          <w:p w14:paraId="01E0C08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68.4</w:t>
            </w:r>
          </w:p>
        </w:tc>
        <w:tc>
          <w:tcPr>
            <w:tcW w:w="0" w:type="auto"/>
          </w:tcPr>
          <w:p w14:paraId="2646B1D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31.6</w:t>
            </w:r>
          </w:p>
        </w:tc>
      </w:tr>
    </w:tbl>
    <w:p w14:paraId="54810E7E" w14:textId="77777777" w:rsidR="00AD7D88" w:rsidRDefault="00AD7D88" w:rsidP="00AD7D88">
      <w:pPr>
        <w:pStyle w:val="BodyText"/>
        <w:spacing w:line="360" w:lineRule="auto"/>
        <w:jc w:val="both"/>
        <w:rPr>
          <w:rFonts w:ascii="Garamond" w:hAnsi="Garamond"/>
          <w:i/>
          <w:iCs/>
        </w:rPr>
      </w:pPr>
      <w:r w:rsidRPr="005871E7">
        <w:rPr>
          <w:rFonts w:ascii="Garamond" w:hAnsi="Garamond"/>
          <w:i/>
          <w:iCs/>
        </w:rPr>
        <w:t>Note: SMC awareness was not captured during the survey.</w:t>
      </w:r>
    </w:p>
    <w:p w14:paraId="5D765283" w14:textId="0403BB81" w:rsidR="00EA751D" w:rsidRPr="00EA751D" w:rsidRDefault="00EA751D" w:rsidP="00EA751D">
      <w:pPr>
        <w:pStyle w:val="BodyText"/>
        <w:spacing w:line="360" w:lineRule="auto"/>
        <w:jc w:val="both"/>
        <w:rPr>
          <w:rFonts w:ascii="Garamond" w:hAnsi="Garamond"/>
          <w:lang w:val="en-GB"/>
        </w:rPr>
      </w:pPr>
      <w:r w:rsidRPr="00EA751D">
        <w:rPr>
          <w:rFonts w:ascii="Garamond" w:hAnsi="Garamond"/>
          <w:lang w:val="en-GB"/>
        </w:rPr>
        <w:t xml:space="preserve">As presented in </w:t>
      </w:r>
      <w:r>
        <w:rPr>
          <w:rFonts w:ascii="Garamond" w:hAnsi="Garamond"/>
          <w:lang w:val="en-GB"/>
        </w:rPr>
        <w:t>above</w:t>
      </w:r>
      <w:r w:rsidRPr="00EA751D">
        <w:rPr>
          <w:rFonts w:ascii="Garamond" w:hAnsi="Garamond"/>
          <w:lang w:val="en-GB"/>
        </w:rPr>
        <w:t xml:space="preserve">, awareness of MNCHW among caregivers is relatively low, with only 34.0% reporting familiarity with the initiative, while 66.0% indicated they had not heard of it. This limited level of awareness poses a significant barrier to the uptake of critical MNCHW services, which typically include antenatal and postnatal care, iron and folic acid supplementation, tetanus toxoid immunization, and nutritional </w:t>
      </w:r>
      <w:proofErr w:type="spellStart"/>
      <w:r w:rsidRPr="00EA751D">
        <w:rPr>
          <w:rFonts w:ascii="Garamond" w:hAnsi="Garamond"/>
          <w:lang w:val="en-GB"/>
        </w:rPr>
        <w:t>counseling</w:t>
      </w:r>
      <w:proofErr w:type="spellEnd"/>
      <w:r w:rsidRPr="00EA751D">
        <w:rPr>
          <w:rFonts w:ascii="Garamond" w:hAnsi="Garamond"/>
          <w:lang w:val="en-GB"/>
        </w:rPr>
        <w:t>. The lack of adequate knowledge about MNCHW potentially undermines its effectiveness as a delivery platform for integrated maternal and child health interventions.</w:t>
      </w:r>
    </w:p>
    <w:p w14:paraId="1F4864E7" w14:textId="77777777" w:rsidR="00EA751D" w:rsidRPr="00EA751D" w:rsidRDefault="00EA751D" w:rsidP="00EA751D">
      <w:pPr>
        <w:pStyle w:val="BodyText"/>
        <w:spacing w:line="360" w:lineRule="auto"/>
        <w:jc w:val="both"/>
        <w:rPr>
          <w:rFonts w:ascii="Garamond" w:hAnsi="Garamond"/>
          <w:lang w:val="en-GB"/>
        </w:rPr>
      </w:pPr>
      <w:r w:rsidRPr="00EA751D">
        <w:rPr>
          <w:rFonts w:ascii="Garamond" w:hAnsi="Garamond"/>
          <w:lang w:val="en-GB"/>
        </w:rPr>
        <w:lastRenderedPageBreak/>
        <w:t>In contrast, awareness of VAS is considerably higher, with 68.4% of caregivers affirming they had heard of the intervention, compared to 31.6% who had not. This finding suggests that vitamin A campaigns have achieved relatively successful community-level penetration, likely due to sustained outreach efforts and integration into routine immunization or child health programs.</w:t>
      </w:r>
    </w:p>
    <w:p w14:paraId="3D76586A" w14:textId="5C99E75A" w:rsidR="00AD7D88" w:rsidRPr="005871E7" w:rsidRDefault="006B151C" w:rsidP="006B151C">
      <w:pPr>
        <w:pStyle w:val="Heading2"/>
        <w:rPr>
          <w:rFonts w:ascii="Garamond" w:hAnsi="Garamond"/>
        </w:rPr>
      </w:pPr>
      <w:bookmarkStart w:id="54" w:name="Xad1bc8e362eed207f06ee5fda15d39792001eb6"/>
      <w:bookmarkStart w:id="55" w:name="_Toc201650807"/>
      <w:bookmarkEnd w:id="50"/>
      <w:bookmarkEnd w:id="52"/>
      <w:bookmarkEnd w:id="53"/>
      <w:r>
        <w:rPr>
          <w:rFonts w:ascii="Garamond" w:hAnsi="Garamond"/>
        </w:rPr>
        <w:t xml:space="preserve">5.11 </w:t>
      </w:r>
      <w:r w:rsidR="00AD7D88" w:rsidRPr="005871E7">
        <w:rPr>
          <w:rFonts w:ascii="Garamond" w:hAnsi="Garamond"/>
        </w:rPr>
        <w:t>Objective 3: Coverage of Vitamin A Supplementation Following Integration with SMC</w:t>
      </w:r>
      <w:bookmarkEnd w:id="55"/>
    </w:p>
    <w:p w14:paraId="002AAC8F"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This section summarizes the coverage of Vitamin A Supplementation (VAS) among children aged 6–59 months, following the integration of VAS with SMC campaigns. Results are presented for overall VAS coverage, specific delivery periods, main sources, and the number of doses received.</w:t>
      </w:r>
    </w:p>
    <w:p w14:paraId="002A9975" w14:textId="60BC3C51" w:rsidR="00AD7D88" w:rsidRPr="006B151C" w:rsidRDefault="006B151C" w:rsidP="006B151C">
      <w:pPr>
        <w:pStyle w:val="Heading3"/>
        <w:rPr>
          <w:rFonts w:ascii="Garamond" w:hAnsi="Garamond"/>
          <w:b/>
          <w:bCs/>
          <w:i/>
          <w:iCs/>
        </w:rPr>
      </w:pPr>
      <w:bookmarkStart w:id="56" w:name="Xb4ac0bc9f01948495b6dd0097b658eddccd0637"/>
      <w:r>
        <w:rPr>
          <w:rFonts w:ascii="Garamond" w:hAnsi="Garamond"/>
          <w:b/>
          <w:bCs/>
          <w:i/>
          <w:iCs/>
        </w:rPr>
        <w:t xml:space="preserve">5.11.1 </w:t>
      </w:r>
      <w:r w:rsidR="00AD7D88" w:rsidRPr="006B151C">
        <w:rPr>
          <w:rFonts w:ascii="Garamond" w:hAnsi="Garamond"/>
          <w:b/>
          <w:bCs/>
          <w:i/>
          <w:iCs/>
        </w:rPr>
        <w:t>Overall VAS Coverage in the Last 6 Months</w:t>
      </w:r>
    </w:p>
    <w:p w14:paraId="7D4DD71F"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Among children aged 6–59 months, </w:t>
      </w:r>
      <w:r w:rsidRPr="005871E7">
        <w:rPr>
          <w:rFonts w:ascii="Garamond" w:hAnsi="Garamond"/>
          <w:b/>
          <w:bCs/>
        </w:rPr>
        <w:t>39.8%</w:t>
      </w:r>
      <w:r w:rsidRPr="005871E7">
        <w:rPr>
          <w:rFonts w:ascii="Garamond" w:hAnsi="Garamond"/>
        </w:rPr>
        <w:t xml:space="preserve"> received at least one dose of vitamin A in the last 6 months, while </w:t>
      </w:r>
      <w:r w:rsidRPr="005871E7">
        <w:rPr>
          <w:rFonts w:ascii="Garamond" w:hAnsi="Garamond"/>
          <w:b/>
          <w:bCs/>
        </w:rPr>
        <w:t>60.2%</w:t>
      </w:r>
      <w:r w:rsidRPr="005871E7">
        <w:rPr>
          <w:rFonts w:ascii="Garamond" w:hAnsi="Garamond"/>
        </w:rPr>
        <w:t xml:space="preserve"> did not.</w:t>
      </w:r>
    </w:p>
    <w:tbl>
      <w:tblPr>
        <w:tblStyle w:val="Table"/>
        <w:tblW w:w="0" w:type="auto"/>
        <w:tblLook w:val="0020" w:firstRow="1" w:lastRow="0" w:firstColumn="0" w:lastColumn="0" w:noHBand="0" w:noVBand="0"/>
      </w:tblPr>
      <w:tblGrid>
        <w:gridCol w:w="3201"/>
        <w:gridCol w:w="1189"/>
        <w:gridCol w:w="1321"/>
      </w:tblGrid>
      <w:tr w:rsidR="00AD7D88" w:rsidRPr="005871E7" w14:paraId="72BC17D6"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2E42C2A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 xml:space="preserve">Received VAS in </w:t>
            </w:r>
            <w:proofErr w:type="gramStart"/>
            <w:r w:rsidRPr="005871E7">
              <w:rPr>
                <w:rFonts w:ascii="Garamond" w:hAnsi="Garamond"/>
              </w:rPr>
              <w:t>Last</w:t>
            </w:r>
            <w:proofErr w:type="gramEnd"/>
            <w:r w:rsidRPr="005871E7">
              <w:rPr>
                <w:rFonts w:ascii="Garamond" w:hAnsi="Garamond"/>
              </w:rPr>
              <w:t xml:space="preserve"> 6 Months</w:t>
            </w:r>
          </w:p>
        </w:tc>
        <w:tc>
          <w:tcPr>
            <w:tcW w:w="0" w:type="auto"/>
          </w:tcPr>
          <w:p w14:paraId="52314A84" w14:textId="612FA64C" w:rsidR="00AD7D88" w:rsidRPr="005871E7" w:rsidRDefault="00651AAF" w:rsidP="002C3392">
            <w:pPr>
              <w:pStyle w:val="Compact"/>
              <w:spacing w:line="360" w:lineRule="auto"/>
              <w:jc w:val="both"/>
              <w:rPr>
                <w:rFonts w:ascii="Garamond" w:hAnsi="Garamond"/>
              </w:rPr>
            </w:pPr>
            <w:r>
              <w:rPr>
                <w:rFonts w:ascii="Garamond" w:hAnsi="Garamond"/>
              </w:rPr>
              <w:t>Frequency</w:t>
            </w:r>
          </w:p>
        </w:tc>
        <w:tc>
          <w:tcPr>
            <w:tcW w:w="0" w:type="auto"/>
          </w:tcPr>
          <w:p w14:paraId="4804945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r>
      <w:tr w:rsidR="00AD7D88" w:rsidRPr="005871E7" w14:paraId="5621A20B" w14:textId="77777777" w:rsidTr="002C3392">
        <w:tc>
          <w:tcPr>
            <w:tcW w:w="0" w:type="auto"/>
          </w:tcPr>
          <w:p w14:paraId="34EB501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0" w:type="auto"/>
          </w:tcPr>
          <w:p w14:paraId="426CA38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2,815</w:t>
            </w:r>
          </w:p>
        </w:tc>
        <w:tc>
          <w:tcPr>
            <w:tcW w:w="0" w:type="auto"/>
          </w:tcPr>
          <w:p w14:paraId="5CCA40B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39.8</w:t>
            </w:r>
          </w:p>
        </w:tc>
      </w:tr>
      <w:tr w:rsidR="00AD7D88" w:rsidRPr="005871E7" w14:paraId="26753C2C" w14:textId="77777777" w:rsidTr="002C3392">
        <w:tc>
          <w:tcPr>
            <w:tcW w:w="0" w:type="auto"/>
          </w:tcPr>
          <w:p w14:paraId="6352599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w:t>
            </w:r>
          </w:p>
        </w:tc>
        <w:tc>
          <w:tcPr>
            <w:tcW w:w="0" w:type="auto"/>
          </w:tcPr>
          <w:p w14:paraId="694498C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4,258</w:t>
            </w:r>
          </w:p>
        </w:tc>
        <w:tc>
          <w:tcPr>
            <w:tcW w:w="0" w:type="auto"/>
          </w:tcPr>
          <w:p w14:paraId="07A6D63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60.2</w:t>
            </w:r>
          </w:p>
        </w:tc>
      </w:tr>
    </w:tbl>
    <w:p w14:paraId="7A923A4C" w14:textId="77777777" w:rsidR="00AD7D88" w:rsidRPr="005871E7" w:rsidRDefault="00AD7D88" w:rsidP="00AD7D88">
      <w:pPr>
        <w:pStyle w:val="BodyText"/>
        <w:spacing w:line="360" w:lineRule="auto"/>
        <w:jc w:val="both"/>
        <w:rPr>
          <w:rFonts w:ascii="Garamond" w:hAnsi="Garamond"/>
        </w:rPr>
      </w:pPr>
      <w:r w:rsidRPr="005871E7">
        <w:rPr>
          <w:rFonts w:ascii="Garamond" w:hAnsi="Garamond"/>
        </w:rPr>
        <w:t xml:space="preserve">We cannot ascertain </w:t>
      </w:r>
      <w:r w:rsidRPr="005871E7">
        <w:rPr>
          <w:rFonts w:ascii="Garamond" w:hAnsi="Garamond"/>
          <w:i/>
          <w:iCs/>
        </w:rPr>
        <w:t>“VAS Coverage During Last MNCHW Campaign” and “VAS Coverage During Integrated SMC+VAS Campaign”</w:t>
      </w:r>
      <w:r w:rsidRPr="005871E7">
        <w:rPr>
          <w:rFonts w:ascii="Garamond" w:hAnsi="Garamond"/>
        </w:rPr>
        <w:t xml:space="preserve"> as this was not captured during the baseline survey. VAS Coverage During Integrated SMC+VAS Campaign</w:t>
      </w:r>
    </w:p>
    <w:p w14:paraId="56D37F67" w14:textId="51820C83" w:rsidR="00AD7D88" w:rsidRPr="006B151C" w:rsidRDefault="006B151C" w:rsidP="006B151C">
      <w:pPr>
        <w:pStyle w:val="Heading3"/>
        <w:rPr>
          <w:rFonts w:ascii="Garamond" w:hAnsi="Garamond"/>
          <w:b/>
          <w:bCs/>
          <w:i/>
          <w:iCs/>
        </w:rPr>
      </w:pPr>
      <w:bookmarkStart w:id="57" w:name="main-source-of-vas"/>
      <w:bookmarkEnd w:id="56"/>
      <w:r>
        <w:rPr>
          <w:rFonts w:ascii="Garamond" w:hAnsi="Garamond"/>
          <w:b/>
          <w:bCs/>
          <w:i/>
          <w:iCs/>
        </w:rPr>
        <w:t xml:space="preserve">5.11.2 </w:t>
      </w:r>
      <w:r w:rsidR="00AD7D88" w:rsidRPr="006B151C">
        <w:rPr>
          <w:rFonts w:ascii="Garamond" w:hAnsi="Garamond"/>
          <w:b/>
          <w:bCs/>
          <w:i/>
          <w:iCs/>
        </w:rPr>
        <w:t>Main Source of VAS</w:t>
      </w:r>
    </w:p>
    <w:p w14:paraId="0ACB6DC2"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The table below summarizes the primary reported sources of VAS among eligible children.</w:t>
      </w:r>
    </w:p>
    <w:tbl>
      <w:tblPr>
        <w:tblStyle w:val="Table"/>
        <w:tblW w:w="5000" w:type="pct"/>
        <w:tblLayout w:type="fixed"/>
        <w:tblLook w:val="0020" w:firstRow="1" w:lastRow="0" w:firstColumn="0" w:lastColumn="0" w:noHBand="0" w:noVBand="0"/>
      </w:tblPr>
      <w:tblGrid>
        <w:gridCol w:w="6345"/>
        <w:gridCol w:w="1345"/>
        <w:gridCol w:w="1886"/>
      </w:tblGrid>
      <w:tr w:rsidR="00AD7D88" w:rsidRPr="005871E7" w14:paraId="26C711F6" w14:textId="77777777" w:rsidTr="00AC1D45">
        <w:trPr>
          <w:cnfStyle w:val="100000000000" w:firstRow="1" w:lastRow="0" w:firstColumn="0" w:lastColumn="0" w:oddVBand="0" w:evenVBand="0" w:oddHBand="0" w:evenHBand="0" w:firstRowFirstColumn="0" w:firstRowLastColumn="0" w:lastRowFirstColumn="0" w:lastRowLastColumn="0"/>
          <w:tblHeader/>
        </w:trPr>
        <w:tc>
          <w:tcPr>
            <w:tcW w:w="6345" w:type="dxa"/>
          </w:tcPr>
          <w:p w14:paraId="393E6F1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Main Source</w:t>
            </w:r>
          </w:p>
        </w:tc>
        <w:tc>
          <w:tcPr>
            <w:tcW w:w="1345" w:type="dxa"/>
          </w:tcPr>
          <w:p w14:paraId="2B378C8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Frequency</w:t>
            </w:r>
          </w:p>
        </w:tc>
        <w:tc>
          <w:tcPr>
            <w:tcW w:w="1886" w:type="dxa"/>
          </w:tcPr>
          <w:p w14:paraId="0D162CF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r>
      <w:tr w:rsidR="00AD7D88" w:rsidRPr="005871E7" w14:paraId="63857DE3" w14:textId="77777777" w:rsidTr="00AC1D45">
        <w:tc>
          <w:tcPr>
            <w:tcW w:w="6345" w:type="dxa"/>
          </w:tcPr>
          <w:p w14:paraId="3E08E03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At the health facility</w:t>
            </w:r>
          </w:p>
        </w:tc>
        <w:tc>
          <w:tcPr>
            <w:tcW w:w="1345" w:type="dxa"/>
          </w:tcPr>
          <w:p w14:paraId="758F3DC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1,842</w:t>
            </w:r>
          </w:p>
        </w:tc>
        <w:tc>
          <w:tcPr>
            <w:tcW w:w="1886" w:type="dxa"/>
          </w:tcPr>
          <w:p w14:paraId="1341EF4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55.5</w:t>
            </w:r>
          </w:p>
        </w:tc>
      </w:tr>
      <w:tr w:rsidR="00AD7D88" w:rsidRPr="005871E7" w14:paraId="3C5873D4" w14:textId="77777777" w:rsidTr="00AC1D45">
        <w:tc>
          <w:tcPr>
            <w:tcW w:w="6345" w:type="dxa"/>
          </w:tcPr>
          <w:p w14:paraId="133B5A6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A Community Drug Distributor came to house</w:t>
            </w:r>
          </w:p>
        </w:tc>
        <w:tc>
          <w:tcPr>
            <w:tcW w:w="1345" w:type="dxa"/>
          </w:tcPr>
          <w:p w14:paraId="67084C0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1,113</w:t>
            </w:r>
          </w:p>
        </w:tc>
        <w:tc>
          <w:tcPr>
            <w:tcW w:w="1886" w:type="dxa"/>
          </w:tcPr>
          <w:p w14:paraId="4459993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33.6</w:t>
            </w:r>
          </w:p>
        </w:tc>
      </w:tr>
      <w:tr w:rsidR="00AD7D88" w:rsidRPr="005871E7" w14:paraId="226B5833" w14:textId="77777777" w:rsidTr="00AC1D45">
        <w:tc>
          <w:tcPr>
            <w:tcW w:w="6345" w:type="dxa"/>
          </w:tcPr>
          <w:p w14:paraId="28606E7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MNCH week fixed outreach post</w:t>
            </w:r>
          </w:p>
        </w:tc>
        <w:tc>
          <w:tcPr>
            <w:tcW w:w="1345" w:type="dxa"/>
          </w:tcPr>
          <w:p w14:paraId="167AE55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335</w:t>
            </w:r>
          </w:p>
        </w:tc>
        <w:tc>
          <w:tcPr>
            <w:tcW w:w="1886" w:type="dxa"/>
          </w:tcPr>
          <w:p w14:paraId="03BDC64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10.1</w:t>
            </w:r>
          </w:p>
        </w:tc>
      </w:tr>
      <w:tr w:rsidR="00AD7D88" w:rsidRPr="005871E7" w14:paraId="21D1CB88" w14:textId="77777777" w:rsidTr="00AC1D45">
        <w:tc>
          <w:tcPr>
            <w:tcW w:w="6345" w:type="dxa"/>
          </w:tcPr>
          <w:p w14:paraId="0B2352E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Other</w:t>
            </w:r>
          </w:p>
        </w:tc>
        <w:tc>
          <w:tcPr>
            <w:tcW w:w="1345" w:type="dxa"/>
          </w:tcPr>
          <w:p w14:paraId="653122FD" w14:textId="03325F92" w:rsidR="00AD7D88" w:rsidRPr="005871E7" w:rsidRDefault="00EA751D" w:rsidP="002C3392">
            <w:pPr>
              <w:pStyle w:val="Compact"/>
              <w:spacing w:line="360" w:lineRule="auto"/>
              <w:jc w:val="both"/>
              <w:rPr>
                <w:rFonts w:ascii="Garamond" w:hAnsi="Garamond"/>
              </w:rPr>
            </w:pPr>
            <w:r>
              <w:rPr>
                <w:rFonts w:ascii="Garamond" w:hAnsi="Garamond"/>
              </w:rPr>
              <w:t>27</w:t>
            </w:r>
          </w:p>
        </w:tc>
        <w:tc>
          <w:tcPr>
            <w:tcW w:w="1886" w:type="dxa"/>
          </w:tcPr>
          <w:p w14:paraId="29183C66" w14:textId="6350AB6A" w:rsidR="00AD7D88" w:rsidRPr="005871E7" w:rsidRDefault="00AD7D88" w:rsidP="002C3392">
            <w:pPr>
              <w:pStyle w:val="Compact"/>
              <w:spacing w:line="360" w:lineRule="auto"/>
              <w:jc w:val="both"/>
              <w:rPr>
                <w:rFonts w:ascii="Garamond" w:hAnsi="Garamond"/>
              </w:rPr>
            </w:pPr>
            <w:r w:rsidRPr="005871E7">
              <w:rPr>
                <w:rFonts w:ascii="Garamond" w:hAnsi="Garamond"/>
              </w:rPr>
              <w:t>0.</w:t>
            </w:r>
            <w:r w:rsidR="00EA751D">
              <w:rPr>
                <w:rFonts w:ascii="Garamond" w:hAnsi="Garamond"/>
              </w:rPr>
              <w:t>8</w:t>
            </w:r>
          </w:p>
        </w:tc>
      </w:tr>
    </w:tbl>
    <w:p w14:paraId="6040EF2B" w14:textId="77777777" w:rsidR="00AD7D88" w:rsidRPr="005871E7" w:rsidRDefault="00AD7D88" w:rsidP="00AD7D88">
      <w:pPr>
        <w:pStyle w:val="BodyText"/>
        <w:spacing w:line="360" w:lineRule="auto"/>
        <w:jc w:val="both"/>
        <w:rPr>
          <w:rFonts w:ascii="Garamond" w:hAnsi="Garamond"/>
        </w:rPr>
      </w:pPr>
      <w:r w:rsidRPr="005871E7">
        <w:rPr>
          <w:rFonts w:ascii="Garamond" w:hAnsi="Garamond"/>
        </w:rPr>
        <w:t xml:space="preserve">Over half (55.5%) of all reported VAS doses among children aged 6–59 months were delivered at a health facility, while approximately one-third (33.6%) were administered by a community drug </w:t>
      </w:r>
      <w:r w:rsidRPr="005871E7">
        <w:rPr>
          <w:rFonts w:ascii="Garamond" w:hAnsi="Garamond"/>
        </w:rPr>
        <w:lastRenderedPageBreak/>
        <w:t>distributor at the household level. Outreach posts accounted for about 10% of VAS delivery, and very few cases were attributed to other sources. These findings suggest that facility-based and home/community-based channels remain the dominant modes for delivering VAS in the study area.</w:t>
      </w:r>
    </w:p>
    <w:p w14:paraId="362423B5" w14:textId="20301213" w:rsidR="00AD7D88" w:rsidRPr="005871E7" w:rsidRDefault="006B151C" w:rsidP="006B151C">
      <w:pPr>
        <w:pStyle w:val="Heading3"/>
        <w:rPr>
          <w:rFonts w:ascii="Garamond" w:hAnsi="Garamond"/>
        </w:rPr>
      </w:pPr>
      <w:bookmarkStart w:id="58" w:name="Xcb1f60681ce351a1c28643966bcd8ccfb68950b"/>
      <w:bookmarkEnd w:id="57"/>
      <w:r>
        <w:rPr>
          <w:rFonts w:ascii="Garamond" w:hAnsi="Garamond"/>
        </w:rPr>
        <w:t>5.11.3</w:t>
      </w:r>
      <w:r w:rsidR="00AD7D88" w:rsidRPr="005871E7">
        <w:rPr>
          <w:rFonts w:ascii="Garamond" w:hAnsi="Garamond"/>
        </w:rPr>
        <w:t xml:space="preserve"> Number of VAS Doses Received in the Last 6 Months</w:t>
      </w:r>
    </w:p>
    <w:p w14:paraId="237A9D7D"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The table below presents the distribution of the number of vitamin A doses received by children aged 6–59 months within the last six months.</w:t>
      </w:r>
    </w:p>
    <w:tbl>
      <w:tblPr>
        <w:tblStyle w:val="Table"/>
        <w:tblW w:w="0" w:type="auto"/>
        <w:tblLook w:val="0020" w:firstRow="1" w:lastRow="0" w:firstColumn="0" w:lastColumn="0" w:noHBand="0" w:noVBand="0"/>
      </w:tblPr>
      <w:tblGrid>
        <w:gridCol w:w="1909"/>
        <w:gridCol w:w="1189"/>
        <w:gridCol w:w="1321"/>
        <w:gridCol w:w="1871"/>
      </w:tblGrid>
      <w:tr w:rsidR="00AD7D88" w:rsidRPr="005871E7" w14:paraId="51146C95"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31F889D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Number of Doses</w:t>
            </w:r>
          </w:p>
        </w:tc>
        <w:tc>
          <w:tcPr>
            <w:tcW w:w="0" w:type="auto"/>
          </w:tcPr>
          <w:p w14:paraId="26CDF21A" w14:textId="0EB536C9" w:rsidR="00AD7D88" w:rsidRPr="005871E7" w:rsidRDefault="00AC1D45" w:rsidP="002C3392">
            <w:pPr>
              <w:pStyle w:val="Compact"/>
              <w:spacing w:line="360" w:lineRule="auto"/>
              <w:jc w:val="both"/>
              <w:rPr>
                <w:rFonts w:ascii="Garamond" w:hAnsi="Garamond"/>
              </w:rPr>
            </w:pPr>
            <w:r>
              <w:rPr>
                <w:rFonts w:ascii="Garamond" w:hAnsi="Garamond"/>
              </w:rPr>
              <w:t>Frequency</w:t>
            </w:r>
          </w:p>
        </w:tc>
        <w:tc>
          <w:tcPr>
            <w:tcW w:w="0" w:type="auto"/>
          </w:tcPr>
          <w:p w14:paraId="45CD8AD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c>
          <w:tcPr>
            <w:tcW w:w="0" w:type="auto"/>
          </w:tcPr>
          <w:p w14:paraId="79551BB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Valid Percent (%)</w:t>
            </w:r>
          </w:p>
        </w:tc>
      </w:tr>
      <w:tr w:rsidR="00AD7D88" w:rsidRPr="005871E7" w14:paraId="5C540FDA" w14:textId="77777777" w:rsidTr="002C3392">
        <w:tc>
          <w:tcPr>
            <w:tcW w:w="0" w:type="auto"/>
          </w:tcPr>
          <w:p w14:paraId="17965FC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w:t>
            </w:r>
          </w:p>
        </w:tc>
        <w:tc>
          <w:tcPr>
            <w:tcW w:w="0" w:type="auto"/>
          </w:tcPr>
          <w:p w14:paraId="7EE5325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2,373</w:t>
            </w:r>
          </w:p>
        </w:tc>
        <w:tc>
          <w:tcPr>
            <w:tcW w:w="0" w:type="auto"/>
          </w:tcPr>
          <w:p w14:paraId="39C9977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33.6</w:t>
            </w:r>
          </w:p>
        </w:tc>
        <w:tc>
          <w:tcPr>
            <w:tcW w:w="0" w:type="auto"/>
          </w:tcPr>
          <w:p w14:paraId="05C471F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84.3</w:t>
            </w:r>
          </w:p>
        </w:tc>
      </w:tr>
      <w:tr w:rsidR="00AD7D88" w:rsidRPr="005871E7" w14:paraId="2F765224" w14:textId="77777777" w:rsidTr="002C3392">
        <w:tc>
          <w:tcPr>
            <w:tcW w:w="0" w:type="auto"/>
          </w:tcPr>
          <w:p w14:paraId="1FF10E3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w:t>
            </w:r>
          </w:p>
        </w:tc>
        <w:tc>
          <w:tcPr>
            <w:tcW w:w="0" w:type="auto"/>
          </w:tcPr>
          <w:p w14:paraId="7DBB1CA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380</w:t>
            </w:r>
          </w:p>
        </w:tc>
        <w:tc>
          <w:tcPr>
            <w:tcW w:w="0" w:type="auto"/>
          </w:tcPr>
          <w:p w14:paraId="0E47609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5.4</w:t>
            </w:r>
          </w:p>
        </w:tc>
        <w:tc>
          <w:tcPr>
            <w:tcW w:w="0" w:type="auto"/>
          </w:tcPr>
          <w:p w14:paraId="6350D7D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13.5</w:t>
            </w:r>
          </w:p>
        </w:tc>
      </w:tr>
      <w:tr w:rsidR="00AD7D88" w:rsidRPr="005871E7" w14:paraId="7B6BD5D0" w14:textId="77777777" w:rsidTr="002C3392">
        <w:tc>
          <w:tcPr>
            <w:tcW w:w="0" w:type="auto"/>
          </w:tcPr>
          <w:p w14:paraId="6939F78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w:t>
            </w:r>
          </w:p>
        </w:tc>
        <w:tc>
          <w:tcPr>
            <w:tcW w:w="0" w:type="auto"/>
          </w:tcPr>
          <w:p w14:paraId="6FDA0F0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57</w:t>
            </w:r>
          </w:p>
        </w:tc>
        <w:tc>
          <w:tcPr>
            <w:tcW w:w="0" w:type="auto"/>
          </w:tcPr>
          <w:p w14:paraId="1B8015C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0.8</w:t>
            </w:r>
          </w:p>
        </w:tc>
        <w:tc>
          <w:tcPr>
            <w:tcW w:w="0" w:type="auto"/>
          </w:tcPr>
          <w:p w14:paraId="1BCF513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2.0</w:t>
            </w:r>
          </w:p>
        </w:tc>
      </w:tr>
      <w:tr w:rsidR="00AD7D88" w:rsidRPr="005871E7" w14:paraId="57924352" w14:textId="77777777" w:rsidTr="002C3392">
        <w:tc>
          <w:tcPr>
            <w:tcW w:w="0" w:type="auto"/>
          </w:tcPr>
          <w:p w14:paraId="72F6922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w:t>
            </w:r>
          </w:p>
        </w:tc>
        <w:tc>
          <w:tcPr>
            <w:tcW w:w="0" w:type="auto"/>
          </w:tcPr>
          <w:p w14:paraId="785203A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w:t>
            </w:r>
          </w:p>
        </w:tc>
        <w:tc>
          <w:tcPr>
            <w:tcW w:w="0" w:type="auto"/>
          </w:tcPr>
          <w:p w14:paraId="7D626ED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0.1</w:t>
            </w:r>
          </w:p>
        </w:tc>
        <w:tc>
          <w:tcPr>
            <w:tcW w:w="0" w:type="auto"/>
          </w:tcPr>
          <w:p w14:paraId="4442F3D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0.2</w:t>
            </w:r>
          </w:p>
        </w:tc>
      </w:tr>
      <w:tr w:rsidR="00AD7D88" w:rsidRPr="005871E7" w14:paraId="343A8864" w14:textId="77777777" w:rsidTr="002C3392">
        <w:tc>
          <w:tcPr>
            <w:tcW w:w="0" w:type="auto"/>
          </w:tcPr>
          <w:p w14:paraId="212D790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 (Missing)</w:t>
            </w:r>
          </w:p>
        </w:tc>
        <w:tc>
          <w:tcPr>
            <w:tcW w:w="0" w:type="auto"/>
          </w:tcPr>
          <w:p w14:paraId="6889E6E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4,258</w:t>
            </w:r>
          </w:p>
        </w:tc>
        <w:tc>
          <w:tcPr>
            <w:tcW w:w="0" w:type="auto"/>
          </w:tcPr>
          <w:p w14:paraId="0D6B029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60.2</w:t>
            </w:r>
          </w:p>
        </w:tc>
        <w:tc>
          <w:tcPr>
            <w:tcW w:w="0" w:type="auto"/>
          </w:tcPr>
          <w:p w14:paraId="5D4ED47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bl>
    <w:p w14:paraId="448F3B05" w14:textId="77777777" w:rsidR="00AD7D88" w:rsidRPr="005871E7" w:rsidRDefault="00AD7D88" w:rsidP="00AD7D88">
      <w:pPr>
        <w:pStyle w:val="BodyText"/>
        <w:spacing w:line="360" w:lineRule="auto"/>
        <w:jc w:val="both"/>
        <w:rPr>
          <w:rFonts w:ascii="Garamond" w:hAnsi="Garamond"/>
        </w:rPr>
      </w:pPr>
      <w:r w:rsidRPr="005871E7">
        <w:rPr>
          <w:rFonts w:ascii="Garamond" w:hAnsi="Garamond"/>
        </w:rPr>
        <w:t>Approximately one-third (33.6%) of children received one VAS dose in the last six months, while only 5.4% received two doses, and less than 1% received three or more doses. Notably, 60.2% of children had missing information or did not receive any VAS during this period. Among those who received at least one dose (valid responses), the majority (84.3%) had only one dose, and only a small fraction received multiple doses.</w:t>
      </w:r>
    </w:p>
    <w:p w14:paraId="45D80EB9" w14:textId="28AA2F2B" w:rsidR="00AD7D88" w:rsidRPr="005871E7" w:rsidRDefault="006B151C" w:rsidP="006B151C">
      <w:pPr>
        <w:pStyle w:val="Heading2"/>
        <w:rPr>
          <w:rFonts w:ascii="Garamond" w:hAnsi="Garamond"/>
        </w:rPr>
      </w:pPr>
      <w:bookmarkStart w:id="59" w:name="X0f09cf3d16c39a88d9fcaf98d13df1864ec19e0"/>
      <w:bookmarkStart w:id="60" w:name="_Toc201650808"/>
      <w:bookmarkEnd w:id="54"/>
      <w:bookmarkEnd w:id="58"/>
      <w:r>
        <w:rPr>
          <w:rFonts w:ascii="Garamond" w:hAnsi="Garamond"/>
        </w:rPr>
        <w:t xml:space="preserve">5.12 </w:t>
      </w:r>
      <w:r w:rsidR="00AD7D88" w:rsidRPr="005871E7">
        <w:rPr>
          <w:rFonts w:ascii="Garamond" w:hAnsi="Garamond"/>
        </w:rPr>
        <w:t>Objective 4: To Monitor the Coverage and Quality of SMC Following Integration with VAS</w:t>
      </w:r>
      <w:bookmarkEnd w:id="60"/>
    </w:p>
    <w:p w14:paraId="0CB9BC3B" w14:textId="089F75B7" w:rsidR="00AD7D88" w:rsidRPr="005871E7" w:rsidRDefault="006B151C" w:rsidP="006B151C">
      <w:pPr>
        <w:pStyle w:val="Heading3"/>
        <w:rPr>
          <w:rFonts w:ascii="Garamond" w:hAnsi="Garamond"/>
        </w:rPr>
      </w:pPr>
      <w:bookmarkStart w:id="61" w:name="a.-smc-coverage-indicators"/>
      <w:r>
        <w:rPr>
          <w:rFonts w:ascii="Garamond" w:hAnsi="Garamond"/>
        </w:rPr>
        <w:t>5.12.1</w:t>
      </w:r>
      <w:r w:rsidR="00AD7D88" w:rsidRPr="005871E7">
        <w:rPr>
          <w:rFonts w:ascii="Garamond" w:hAnsi="Garamond"/>
        </w:rPr>
        <w:t xml:space="preserve"> SMC Coverage Indicators</w:t>
      </w:r>
    </w:p>
    <w:p w14:paraId="4C76E1EC" w14:textId="77777777" w:rsidR="00AD7D88" w:rsidRPr="005871E7" w:rsidRDefault="00AD7D88" w:rsidP="006B151C">
      <w:pPr>
        <w:rPr>
          <w:rFonts w:ascii="Garamond" w:hAnsi="Garamond"/>
        </w:rPr>
      </w:pPr>
      <w:bookmarkStart w:id="62" w:name="X8338975533828cab0d275f402ba8b7f97cae23e"/>
      <w:r w:rsidRPr="005871E7">
        <w:rPr>
          <w:rFonts w:ascii="Garamond" w:hAnsi="Garamond"/>
        </w:rPr>
        <w:t xml:space="preserve">% of Eligible Children Who Received </w:t>
      </w:r>
      <w:proofErr w:type="gramStart"/>
      <w:r w:rsidRPr="005871E7">
        <w:rPr>
          <w:rFonts w:ascii="Garamond" w:hAnsi="Garamond"/>
        </w:rPr>
        <w:t>at Least</w:t>
      </w:r>
      <w:proofErr w:type="gramEnd"/>
      <w:r w:rsidRPr="005871E7">
        <w:rPr>
          <w:rFonts w:ascii="Garamond" w:hAnsi="Garamond"/>
        </w:rPr>
        <w:t xml:space="preserve"> One Dose of SMC (Day 1)</w:t>
      </w:r>
    </w:p>
    <w:p w14:paraId="07C6074F"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Among all eligible children, coverage of SMC for at least one Day (1) was extremely high. Specifically, 97.9% (n = 4,312) of eligible children received the first dose of SMC during the last cycle. Only a small proportion (2.1%, n = 92) had missing information or did not receive the dose.</w:t>
      </w:r>
    </w:p>
    <w:p w14:paraId="53131CBE" w14:textId="7B73BDA2" w:rsidR="00AD7D88" w:rsidRPr="005871E7" w:rsidRDefault="006B151C" w:rsidP="006B151C">
      <w:pPr>
        <w:pStyle w:val="Heading3"/>
        <w:rPr>
          <w:rFonts w:ascii="Garamond" w:hAnsi="Garamond"/>
        </w:rPr>
      </w:pPr>
      <w:bookmarkStart w:id="63" w:name="X3bb1a8c6588225afeceeacd505525ab76f4a41b"/>
      <w:bookmarkEnd w:id="62"/>
      <w:r>
        <w:rPr>
          <w:rFonts w:ascii="Garamond" w:hAnsi="Garamond"/>
        </w:rPr>
        <w:t xml:space="preserve">5.12.2 </w:t>
      </w:r>
      <w:r w:rsidR="00AD7D88" w:rsidRPr="005871E7">
        <w:rPr>
          <w:rFonts w:ascii="Garamond" w:hAnsi="Garamond"/>
        </w:rPr>
        <w:t>% Who Received SMC Under Direct Observation by CDDs</w:t>
      </w:r>
    </w:p>
    <w:p w14:paraId="1F4283F6"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No data </w:t>
      </w:r>
      <w:proofErr w:type="gramStart"/>
      <w:r w:rsidRPr="005871E7">
        <w:rPr>
          <w:rFonts w:ascii="Garamond" w:hAnsi="Garamond"/>
        </w:rPr>
        <w:t>were</w:t>
      </w:r>
      <w:proofErr w:type="gramEnd"/>
      <w:r w:rsidRPr="005871E7">
        <w:rPr>
          <w:rFonts w:ascii="Garamond" w:hAnsi="Garamond"/>
        </w:rPr>
        <w:t xml:space="preserve"> available to assess the proportion of children who received SMC under direct observation by community drug distributors (CDDs).</w:t>
      </w:r>
    </w:p>
    <w:p w14:paraId="55CD2D29" w14:textId="1EC694E7" w:rsidR="00AD7D88" w:rsidRPr="005871E7" w:rsidRDefault="006B151C" w:rsidP="006B151C">
      <w:pPr>
        <w:pStyle w:val="Heading3"/>
        <w:rPr>
          <w:rFonts w:ascii="Garamond" w:hAnsi="Garamond"/>
        </w:rPr>
      </w:pPr>
      <w:bookmarkStart w:id="64" w:name="smc-quality-indicators"/>
      <w:bookmarkEnd w:id="61"/>
      <w:bookmarkEnd w:id="63"/>
      <w:r>
        <w:rPr>
          <w:rFonts w:ascii="Garamond" w:hAnsi="Garamond"/>
        </w:rPr>
        <w:lastRenderedPageBreak/>
        <w:t xml:space="preserve">5.12.3 </w:t>
      </w:r>
      <w:r w:rsidR="00AD7D88" w:rsidRPr="005871E7">
        <w:rPr>
          <w:rFonts w:ascii="Garamond" w:hAnsi="Garamond"/>
        </w:rPr>
        <w:t>SMC Quality Indicators</w:t>
      </w:r>
    </w:p>
    <w:p w14:paraId="3B4A71F6" w14:textId="77777777" w:rsidR="00AD7D88" w:rsidRPr="005871E7" w:rsidRDefault="00AD7D88" w:rsidP="00AD7D88">
      <w:pPr>
        <w:pStyle w:val="Heading3"/>
        <w:spacing w:line="360" w:lineRule="auto"/>
        <w:jc w:val="both"/>
        <w:rPr>
          <w:rFonts w:ascii="Garamond" w:hAnsi="Garamond"/>
        </w:rPr>
      </w:pPr>
      <w:bookmarkStart w:id="65" w:name="X145cbb839af5a24284995737bbd80724c8de327"/>
      <w:r w:rsidRPr="005871E7">
        <w:rPr>
          <w:rFonts w:ascii="Garamond" w:hAnsi="Garamond"/>
        </w:rPr>
        <w:t>% Reporting Adverse Events Following SMC and/or VAS</w:t>
      </w:r>
    </w:p>
    <w:p w14:paraId="3202ABB5"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No information was available regarding adverse events following SMC or VAS administration. Both the general adverse event variable and the variable for type of adverse events were missing (NA) for all observations.</w:t>
      </w:r>
    </w:p>
    <w:p w14:paraId="2B820138" w14:textId="77777777" w:rsidR="00AD7D88" w:rsidRPr="005871E7" w:rsidRDefault="00AD7D88" w:rsidP="00AD7D88">
      <w:pPr>
        <w:pStyle w:val="Heading3"/>
        <w:spacing w:line="360" w:lineRule="auto"/>
        <w:jc w:val="both"/>
        <w:rPr>
          <w:rFonts w:ascii="Garamond" w:hAnsi="Garamond"/>
        </w:rPr>
      </w:pPr>
      <w:bookmarkStart w:id="66" w:name="X1751bf1dcf0457b0d792308a40638893237ffb6"/>
      <w:bookmarkEnd w:id="65"/>
      <w:r w:rsidRPr="005871E7">
        <w:rPr>
          <w:rFonts w:ascii="Garamond" w:hAnsi="Garamond"/>
        </w:rPr>
        <w:t>% of Children Who Completed All SMC Doses (Days 1, 2, 3)</w:t>
      </w:r>
    </w:p>
    <w:p w14:paraId="3575793E"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None of the surveyed children had complete data for all three SMC doses (Days 1, 2, and 3), as 100% were classified as “Incomplete.”</w:t>
      </w:r>
    </w:p>
    <w:p w14:paraId="76B90654" w14:textId="77777777" w:rsidR="00AD7D88" w:rsidRPr="005871E7" w:rsidRDefault="00AD7D88" w:rsidP="00AD7D88">
      <w:pPr>
        <w:pStyle w:val="Heading3"/>
        <w:spacing w:line="360" w:lineRule="auto"/>
        <w:jc w:val="both"/>
        <w:rPr>
          <w:rFonts w:ascii="Garamond" w:hAnsi="Garamond"/>
        </w:rPr>
      </w:pPr>
      <w:bookmarkStart w:id="67" w:name="X0bd1f4cfb72e8a4dc8a6d445d36c62b551713cf"/>
      <w:bookmarkEnd w:id="66"/>
      <w:r w:rsidRPr="005871E7">
        <w:rPr>
          <w:rFonts w:ascii="Garamond" w:hAnsi="Garamond"/>
        </w:rPr>
        <w:t>% of Households Reporting Satisfaction with SMC+VAS Delivery</w:t>
      </w:r>
    </w:p>
    <w:p w14:paraId="3334B74F" w14:textId="64B94B2B"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Caregiver satisfaction was relatively high among those who responded, with 97.8% (n = 1,859) expressing satisfaction with the delivery of services. Only 2.2% (n = 41) were dissatisfied. However, it is notable that this information was missing for 76.4% (n = 6,164) of </w:t>
      </w:r>
      <w:r w:rsidRPr="005871E7">
        <w:rPr>
          <w:rFonts w:ascii="Garamond" w:hAnsi="Garamond"/>
        </w:rPr>
        <w:t>households surveyed</w:t>
      </w:r>
      <w:r w:rsidRPr="005871E7">
        <w:rPr>
          <w:rFonts w:ascii="Garamond" w:hAnsi="Garamond"/>
        </w:rPr>
        <w:t>.</w:t>
      </w:r>
    </w:p>
    <w:p w14:paraId="08690FAB" w14:textId="77777777" w:rsidR="00AD7D88" w:rsidRPr="005871E7" w:rsidRDefault="00AD7D88" w:rsidP="00AD7D88">
      <w:pPr>
        <w:pStyle w:val="Heading3"/>
        <w:spacing w:line="360" w:lineRule="auto"/>
        <w:jc w:val="both"/>
        <w:rPr>
          <w:rFonts w:ascii="Garamond" w:hAnsi="Garamond"/>
        </w:rPr>
      </w:pPr>
      <w:bookmarkStart w:id="68" w:name="Xde4ae41c4673e92a185c03dcd63a833a824675d"/>
      <w:bookmarkEnd w:id="67"/>
      <w:r w:rsidRPr="005871E7">
        <w:rPr>
          <w:rFonts w:ascii="Garamond" w:hAnsi="Garamond"/>
        </w:rPr>
        <w:t>% of Children with SMC/VAS Documentation (Health Card, Sticker, etc.)</w:t>
      </w:r>
    </w:p>
    <w:p w14:paraId="418ACEEA"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Over half of the children (52.9%, n = 4,263) had a child health </w:t>
      </w:r>
      <w:proofErr w:type="spellStart"/>
      <w:r w:rsidRPr="005871E7">
        <w:rPr>
          <w:rFonts w:ascii="Garamond" w:hAnsi="Garamond"/>
        </w:rPr>
        <w:t>card</w:t>
      </w:r>
      <w:proofErr w:type="spellEnd"/>
      <w:r w:rsidRPr="005871E7">
        <w:rPr>
          <w:rFonts w:ascii="Garamond" w:hAnsi="Garamond"/>
        </w:rPr>
        <w:t xml:space="preserve"> available, while 47.1% (n = 3,801) did not. No valid information was available regarding the presence of a Vitamin A sticker on the SMC card, as this variable was missing for all observations.</w:t>
      </w:r>
    </w:p>
    <w:p w14:paraId="0530BEE7" w14:textId="77777777" w:rsidR="00AD7D88" w:rsidRPr="005871E7" w:rsidRDefault="00AD7D88" w:rsidP="00AD7D88">
      <w:pPr>
        <w:pStyle w:val="Heading4"/>
        <w:spacing w:line="360" w:lineRule="auto"/>
        <w:jc w:val="both"/>
        <w:rPr>
          <w:rFonts w:ascii="Garamond" w:hAnsi="Garamond"/>
        </w:rPr>
      </w:pPr>
      <w:bookmarkStart w:id="69" w:name="summary-table"/>
      <w:r w:rsidRPr="005871E7">
        <w:rPr>
          <w:rFonts w:ascii="Garamond" w:hAnsi="Garamond"/>
        </w:rPr>
        <w:t>Summary Table</w:t>
      </w:r>
    </w:p>
    <w:tbl>
      <w:tblPr>
        <w:tblStyle w:val="Table"/>
        <w:tblW w:w="5000" w:type="pct"/>
        <w:tblLayout w:type="fixed"/>
        <w:tblLook w:val="0020" w:firstRow="1" w:lastRow="0" w:firstColumn="0" w:lastColumn="0" w:noHBand="0" w:noVBand="0"/>
      </w:tblPr>
      <w:tblGrid>
        <w:gridCol w:w="6478"/>
        <w:gridCol w:w="1549"/>
        <w:gridCol w:w="1549"/>
      </w:tblGrid>
      <w:tr w:rsidR="00AD7D88" w:rsidRPr="005871E7" w14:paraId="2E032F44" w14:textId="77777777" w:rsidTr="00AC1D45">
        <w:trPr>
          <w:cnfStyle w:val="100000000000" w:firstRow="1" w:lastRow="0" w:firstColumn="0" w:lastColumn="0" w:oddVBand="0" w:evenVBand="0" w:oddHBand="0" w:evenHBand="0" w:firstRowFirstColumn="0" w:firstRowLastColumn="0" w:lastRowFirstColumn="0" w:lastRowLastColumn="0"/>
          <w:tblHeader/>
        </w:trPr>
        <w:tc>
          <w:tcPr>
            <w:tcW w:w="6478" w:type="dxa"/>
          </w:tcPr>
          <w:p w14:paraId="3A1859D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Indicator</w:t>
            </w:r>
          </w:p>
        </w:tc>
        <w:tc>
          <w:tcPr>
            <w:tcW w:w="1549" w:type="dxa"/>
          </w:tcPr>
          <w:p w14:paraId="533C6B1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 (%)</w:t>
            </w:r>
          </w:p>
        </w:tc>
        <w:tc>
          <w:tcPr>
            <w:tcW w:w="1549" w:type="dxa"/>
          </w:tcPr>
          <w:p w14:paraId="4FE5629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 (%)</w:t>
            </w:r>
          </w:p>
        </w:tc>
      </w:tr>
      <w:tr w:rsidR="00AD7D88" w:rsidRPr="005871E7" w14:paraId="2D6CCE28" w14:textId="77777777" w:rsidTr="00AC1D45">
        <w:tc>
          <w:tcPr>
            <w:tcW w:w="6478" w:type="dxa"/>
          </w:tcPr>
          <w:p w14:paraId="4B390E5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SMC coverage (at least 1 dose, eligible children)</w:t>
            </w:r>
          </w:p>
        </w:tc>
        <w:tc>
          <w:tcPr>
            <w:tcW w:w="1549" w:type="dxa"/>
          </w:tcPr>
          <w:p w14:paraId="66E7A96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97.9</w:t>
            </w:r>
          </w:p>
        </w:tc>
        <w:tc>
          <w:tcPr>
            <w:tcW w:w="1549" w:type="dxa"/>
          </w:tcPr>
          <w:p w14:paraId="605B663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r w:rsidR="00AD7D88" w:rsidRPr="005871E7" w14:paraId="28CF5F6C" w14:textId="77777777" w:rsidTr="00AC1D45">
        <w:tc>
          <w:tcPr>
            <w:tcW w:w="6478" w:type="dxa"/>
          </w:tcPr>
          <w:p w14:paraId="422D924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Direct observation by CDDs</w:t>
            </w:r>
          </w:p>
        </w:tc>
        <w:tc>
          <w:tcPr>
            <w:tcW w:w="1549" w:type="dxa"/>
          </w:tcPr>
          <w:p w14:paraId="695154A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c>
          <w:tcPr>
            <w:tcW w:w="1549" w:type="dxa"/>
          </w:tcPr>
          <w:p w14:paraId="702A7B7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r>
      <w:tr w:rsidR="00AD7D88" w:rsidRPr="005871E7" w14:paraId="5654CE3D" w14:textId="77777777" w:rsidTr="00AC1D45">
        <w:tc>
          <w:tcPr>
            <w:tcW w:w="6478" w:type="dxa"/>
          </w:tcPr>
          <w:p w14:paraId="368C67F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Adverse events reported</w:t>
            </w:r>
          </w:p>
        </w:tc>
        <w:tc>
          <w:tcPr>
            <w:tcW w:w="1549" w:type="dxa"/>
          </w:tcPr>
          <w:p w14:paraId="437D04E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c>
          <w:tcPr>
            <w:tcW w:w="1549" w:type="dxa"/>
          </w:tcPr>
          <w:p w14:paraId="2E322F7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r>
      <w:tr w:rsidR="00AD7D88" w:rsidRPr="005871E7" w14:paraId="73ADF307" w14:textId="77777777" w:rsidTr="00AC1D45">
        <w:tc>
          <w:tcPr>
            <w:tcW w:w="6478" w:type="dxa"/>
          </w:tcPr>
          <w:p w14:paraId="0E78CF5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Completed all SMC doses (Days 1–3)</w:t>
            </w:r>
          </w:p>
        </w:tc>
        <w:tc>
          <w:tcPr>
            <w:tcW w:w="1549" w:type="dxa"/>
          </w:tcPr>
          <w:p w14:paraId="4BB79DB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0.0</w:t>
            </w:r>
          </w:p>
        </w:tc>
        <w:tc>
          <w:tcPr>
            <w:tcW w:w="1549" w:type="dxa"/>
          </w:tcPr>
          <w:p w14:paraId="5E295BA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100.0</w:t>
            </w:r>
          </w:p>
        </w:tc>
      </w:tr>
      <w:tr w:rsidR="00AD7D88" w:rsidRPr="005871E7" w14:paraId="13C2F9F0" w14:textId="77777777" w:rsidTr="00AC1D45">
        <w:tc>
          <w:tcPr>
            <w:tcW w:w="6478" w:type="dxa"/>
          </w:tcPr>
          <w:p w14:paraId="735139D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Caregiver satisfied with SMC+VAS delivery</w:t>
            </w:r>
          </w:p>
        </w:tc>
        <w:tc>
          <w:tcPr>
            <w:tcW w:w="1549" w:type="dxa"/>
          </w:tcPr>
          <w:p w14:paraId="0E2404E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97.8</w:t>
            </w:r>
          </w:p>
        </w:tc>
        <w:tc>
          <w:tcPr>
            <w:tcW w:w="1549" w:type="dxa"/>
          </w:tcPr>
          <w:p w14:paraId="16DC129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2.2</w:t>
            </w:r>
          </w:p>
        </w:tc>
      </w:tr>
      <w:tr w:rsidR="00AD7D88" w:rsidRPr="005871E7" w14:paraId="2F3F48D1" w14:textId="77777777" w:rsidTr="00AC1D45">
        <w:tc>
          <w:tcPr>
            <w:tcW w:w="6478" w:type="dxa"/>
          </w:tcPr>
          <w:p w14:paraId="39FB2B0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Child has health card</w:t>
            </w:r>
          </w:p>
        </w:tc>
        <w:tc>
          <w:tcPr>
            <w:tcW w:w="1549" w:type="dxa"/>
          </w:tcPr>
          <w:p w14:paraId="73AF7AC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52.9</w:t>
            </w:r>
          </w:p>
        </w:tc>
        <w:tc>
          <w:tcPr>
            <w:tcW w:w="1549" w:type="dxa"/>
          </w:tcPr>
          <w:p w14:paraId="2E05CAB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47.1</w:t>
            </w:r>
          </w:p>
        </w:tc>
      </w:tr>
      <w:tr w:rsidR="00AD7D88" w:rsidRPr="005871E7" w14:paraId="413EC008" w14:textId="77777777" w:rsidTr="00AC1D45">
        <w:tc>
          <w:tcPr>
            <w:tcW w:w="6478" w:type="dxa"/>
          </w:tcPr>
          <w:p w14:paraId="29D94E7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Vitamin A sticker on SMC card</w:t>
            </w:r>
          </w:p>
        </w:tc>
        <w:tc>
          <w:tcPr>
            <w:tcW w:w="1549" w:type="dxa"/>
          </w:tcPr>
          <w:p w14:paraId="10A3410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c>
          <w:tcPr>
            <w:tcW w:w="1549" w:type="dxa"/>
          </w:tcPr>
          <w:p w14:paraId="6203A78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r>
    </w:tbl>
    <w:p w14:paraId="421AE6DD" w14:textId="6AA207F0" w:rsidR="00167106" w:rsidRPr="00167106" w:rsidRDefault="00167106" w:rsidP="00167106">
      <w:pPr>
        <w:pStyle w:val="Heading1"/>
        <w:rPr>
          <w:rFonts w:ascii="Garamond" w:hAnsi="Garamond"/>
          <w:b/>
          <w:bCs/>
          <w:lang w:val="en-GB"/>
        </w:rPr>
      </w:pPr>
      <w:bookmarkStart w:id="70" w:name="_Toc201650809"/>
      <w:bookmarkEnd w:id="59"/>
      <w:bookmarkEnd w:id="64"/>
      <w:bookmarkEnd w:id="68"/>
      <w:bookmarkEnd w:id="69"/>
      <w:r>
        <w:rPr>
          <w:rFonts w:ascii="Garamond" w:hAnsi="Garamond"/>
          <w:b/>
          <w:bCs/>
          <w:lang w:val="en-GB"/>
        </w:rPr>
        <w:lastRenderedPageBreak/>
        <w:t>6</w:t>
      </w:r>
      <w:r w:rsidRPr="00167106">
        <w:rPr>
          <w:rFonts w:ascii="Garamond" w:hAnsi="Garamond"/>
          <w:b/>
          <w:bCs/>
          <w:lang w:val="en-GB"/>
        </w:rPr>
        <w:t>. Discussion</w:t>
      </w:r>
      <w:bookmarkEnd w:id="70"/>
    </w:p>
    <w:p w14:paraId="1D1789A6" w14:textId="4EC1ACBA" w:rsidR="00167106" w:rsidRPr="00167106" w:rsidRDefault="00167106" w:rsidP="00167106">
      <w:pPr>
        <w:pStyle w:val="Heading2"/>
        <w:rPr>
          <w:rFonts w:ascii="Garamond" w:hAnsi="Garamond"/>
          <w:b/>
          <w:bCs/>
          <w:lang w:val="en-GB"/>
        </w:rPr>
      </w:pPr>
      <w:bookmarkStart w:id="71" w:name="_Toc201650810"/>
      <w:r>
        <w:rPr>
          <w:rFonts w:ascii="Garamond" w:hAnsi="Garamond"/>
          <w:b/>
          <w:bCs/>
          <w:lang w:val="en-GB"/>
        </w:rPr>
        <w:t>6</w:t>
      </w:r>
      <w:r w:rsidRPr="00167106">
        <w:rPr>
          <w:rFonts w:ascii="Garamond" w:hAnsi="Garamond"/>
          <w:b/>
          <w:bCs/>
          <w:lang w:val="en-GB"/>
        </w:rPr>
        <w:t>.1 Main Findings</w:t>
      </w:r>
      <w:bookmarkEnd w:id="71"/>
    </w:p>
    <w:p w14:paraId="2B086538" w14:textId="6179887C" w:rsidR="00167106" w:rsidRPr="00167106" w:rsidRDefault="00167106" w:rsidP="00167106">
      <w:pPr>
        <w:spacing w:line="360" w:lineRule="auto"/>
        <w:jc w:val="both"/>
        <w:rPr>
          <w:rFonts w:ascii="Garamond" w:hAnsi="Garamond"/>
          <w:lang w:val="en-GB"/>
        </w:rPr>
      </w:pPr>
      <w:r w:rsidRPr="00167106">
        <w:rPr>
          <w:rFonts w:ascii="Garamond" w:hAnsi="Garamond"/>
          <w:lang w:val="en-GB"/>
        </w:rPr>
        <w:t xml:space="preserve">This baseline evaluation represents one of the largest and most comprehensive studies to date examining the potential for integrated delivery of </w:t>
      </w:r>
      <w:r w:rsidRPr="00167106">
        <w:rPr>
          <w:rFonts w:ascii="Garamond" w:hAnsi="Garamond"/>
          <w:b/>
          <w:bCs/>
          <w:lang w:val="en-GB"/>
        </w:rPr>
        <w:t>Vitamin A Supplementation (VAS)</w:t>
      </w:r>
      <w:r w:rsidRPr="00167106">
        <w:rPr>
          <w:rFonts w:ascii="Garamond" w:hAnsi="Garamond"/>
          <w:lang w:val="en-GB"/>
        </w:rPr>
        <w:t xml:space="preserve"> with </w:t>
      </w:r>
      <w:r w:rsidRPr="00167106">
        <w:rPr>
          <w:rFonts w:ascii="Garamond" w:hAnsi="Garamond"/>
          <w:b/>
          <w:bCs/>
          <w:lang w:val="en-GB"/>
        </w:rPr>
        <w:t>Seasonal Malaria Chemoprevention (SMC)</w:t>
      </w:r>
      <w:r w:rsidRPr="00167106">
        <w:rPr>
          <w:rFonts w:ascii="Garamond" w:hAnsi="Garamond"/>
          <w:lang w:val="en-GB"/>
        </w:rPr>
        <w:t xml:space="preserve"> in Bauchi State, Nigeria. The findings reveal substantial variability in the coverage of key child health interventions</w:t>
      </w:r>
      <w:r>
        <w:rPr>
          <w:rFonts w:ascii="Garamond" w:hAnsi="Garamond"/>
          <w:lang w:val="en-GB"/>
        </w:rPr>
        <w:t xml:space="preserve">, </w:t>
      </w:r>
      <w:r w:rsidRPr="00167106">
        <w:rPr>
          <w:rFonts w:ascii="Garamond" w:hAnsi="Garamond"/>
          <w:lang w:val="en-GB"/>
        </w:rPr>
        <w:t>VAS, deworming, MUAC screening, and routine immunization</w:t>
      </w:r>
      <w:r>
        <w:rPr>
          <w:rFonts w:ascii="Garamond" w:hAnsi="Garamond"/>
          <w:lang w:val="en-GB"/>
        </w:rPr>
        <w:t xml:space="preserve">, </w:t>
      </w:r>
      <w:r w:rsidRPr="00167106">
        <w:rPr>
          <w:rFonts w:ascii="Garamond" w:hAnsi="Garamond"/>
          <w:lang w:val="en-GB"/>
        </w:rPr>
        <w:t>across the 20 Local Government Areas (LGAs) in Bauchi State. Notably, while SMC coverage for Day 1 was exceedingly high (97.9% among eligible children), coverage for VAS in the last six months remained below 40%, with considerable disparities observed between LGAs and socioeconomic strata.</w:t>
      </w:r>
    </w:p>
    <w:p w14:paraId="7C1FECDB" w14:textId="77777777" w:rsidR="00167106" w:rsidRPr="00167106" w:rsidRDefault="00167106" w:rsidP="00167106">
      <w:pPr>
        <w:spacing w:line="360" w:lineRule="auto"/>
        <w:jc w:val="both"/>
        <w:rPr>
          <w:rFonts w:ascii="Garamond" w:hAnsi="Garamond"/>
          <w:lang w:val="en-GB"/>
        </w:rPr>
      </w:pPr>
      <w:r w:rsidRPr="00167106">
        <w:rPr>
          <w:rFonts w:ascii="Garamond" w:hAnsi="Garamond"/>
          <w:lang w:val="en-GB"/>
        </w:rPr>
        <w:t>Deworming and MUAC screening coverage were lower than VAS, with only about one in three children receiving deworming and less than a quarter undergoing MUAC screening during the last MNCHW campaign. Immunization coverage, though variable, showed high rates in a few LGAs but was generally low or incomplete across the state. Wealthier households and those where household heads had at least some formal education reported higher coverage rates for all interventions.</w:t>
      </w:r>
    </w:p>
    <w:p w14:paraId="6FCE93C1" w14:textId="77777777" w:rsidR="00167106" w:rsidRPr="00167106" w:rsidRDefault="00167106" w:rsidP="00167106">
      <w:pPr>
        <w:spacing w:line="360" w:lineRule="auto"/>
        <w:jc w:val="both"/>
        <w:rPr>
          <w:rFonts w:ascii="Garamond" w:hAnsi="Garamond"/>
          <w:lang w:val="en-GB"/>
        </w:rPr>
      </w:pPr>
      <w:r w:rsidRPr="00167106">
        <w:rPr>
          <w:rFonts w:ascii="Garamond" w:hAnsi="Garamond"/>
          <w:lang w:val="en-GB"/>
        </w:rPr>
        <w:t>Awareness of VAS was moderately high (68%), while awareness of MNCHW was lower (34%). Health facility staff were identified as the primary source of information on VAS, with community drug distributors playing a secondary but important role. Among women of childbearing age, coverage of key interventions such as iron and folic acid supplementation (IFAS) and tetanus toxoid (TT) was generally low, with high rates of missing data for IFAS and postnatal care indicators.</w:t>
      </w:r>
    </w:p>
    <w:p w14:paraId="6307393D" w14:textId="77777777" w:rsidR="00167106" w:rsidRPr="00167106" w:rsidRDefault="00167106" w:rsidP="00167106">
      <w:pPr>
        <w:spacing w:line="360" w:lineRule="auto"/>
        <w:jc w:val="both"/>
        <w:rPr>
          <w:rFonts w:ascii="Garamond" w:hAnsi="Garamond"/>
          <w:lang w:val="en-GB"/>
        </w:rPr>
      </w:pPr>
      <w:r w:rsidRPr="00167106">
        <w:rPr>
          <w:rFonts w:ascii="Garamond" w:hAnsi="Garamond"/>
          <w:lang w:val="en-GB"/>
        </w:rPr>
        <w:t>Caregiver satisfaction with SMC and VAS service delivery was high among those who responded, and over half of children had some form of documentation (e.g., health card). However, important data gaps and missing values were observed across multiple indicators, warranting caution in the interpretation of some results.</w:t>
      </w:r>
    </w:p>
    <w:p w14:paraId="272BC92E" w14:textId="75B6F51C" w:rsidR="00167106" w:rsidRPr="00167106" w:rsidRDefault="00167106" w:rsidP="00167106">
      <w:pPr>
        <w:spacing w:line="360" w:lineRule="auto"/>
        <w:jc w:val="both"/>
        <w:rPr>
          <w:rFonts w:ascii="Garamond" w:hAnsi="Garamond"/>
          <w:b/>
          <w:bCs/>
          <w:lang w:val="en-GB"/>
        </w:rPr>
      </w:pPr>
      <w:r>
        <w:rPr>
          <w:rFonts w:ascii="Garamond" w:hAnsi="Garamond"/>
          <w:b/>
          <w:bCs/>
          <w:lang w:val="en-GB"/>
        </w:rPr>
        <w:t>6</w:t>
      </w:r>
      <w:r w:rsidRPr="00167106">
        <w:rPr>
          <w:rFonts w:ascii="Garamond" w:hAnsi="Garamond"/>
          <w:b/>
          <w:bCs/>
          <w:lang w:val="en-GB"/>
        </w:rPr>
        <w:t>.2 Interpretation in Relation to Objectives</w:t>
      </w:r>
    </w:p>
    <w:p w14:paraId="55D1B264" w14:textId="77777777" w:rsidR="00167106" w:rsidRPr="00167106" w:rsidRDefault="00167106" w:rsidP="00167106">
      <w:pPr>
        <w:spacing w:line="360" w:lineRule="auto"/>
        <w:jc w:val="both"/>
        <w:rPr>
          <w:rFonts w:ascii="Garamond" w:hAnsi="Garamond"/>
          <w:lang w:val="en-GB"/>
        </w:rPr>
      </w:pPr>
      <w:r w:rsidRPr="00167106">
        <w:rPr>
          <w:rFonts w:ascii="Garamond" w:hAnsi="Garamond"/>
          <w:lang w:val="en-GB"/>
        </w:rPr>
        <w:t>The baseline findings offer important insights into each of the study’s core objectives:</w:t>
      </w:r>
    </w:p>
    <w:p w14:paraId="68B58782" w14:textId="77777777" w:rsidR="00167106" w:rsidRPr="00167106" w:rsidRDefault="00167106" w:rsidP="00167106">
      <w:pPr>
        <w:numPr>
          <w:ilvl w:val="0"/>
          <w:numId w:val="19"/>
        </w:numPr>
        <w:spacing w:line="360" w:lineRule="auto"/>
        <w:jc w:val="both"/>
        <w:rPr>
          <w:rFonts w:ascii="Garamond" w:hAnsi="Garamond"/>
          <w:lang w:val="en-GB"/>
        </w:rPr>
      </w:pPr>
      <w:r w:rsidRPr="00167106">
        <w:rPr>
          <w:rFonts w:ascii="Garamond" w:hAnsi="Garamond"/>
          <w:b/>
          <w:bCs/>
          <w:lang w:val="en-GB"/>
        </w:rPr>
        <w:t>Objective 1: Effect of Integrating VAS with SMC on Uptake of MNCHW Interventions</w:t>
      </w:r>
      <w:r w:rsidRPr="00167106">
        <w:rPr>
          <w:rFonts w:ascii="Garamond" w:hAnsi="Garamond"/>
          <w:lang w:val="en-GB"/>
        </w:rPr>
        <w:br/>
      </w:r>
      <w:r w:rsidRPr="00167106">
        <w:rPr>
          <w:rFonts w:ascii="Garamond" w:hAnsi="Garamond"/>
          <w:lang w:val="en-GB"/>
        </w:rPr>
        <w:lastRenderedPageBreak/>
        <w:t>The results underscore the persistent gap in VAS coverage despite the high reach of SMC. The observed variability in deworming and MUAC screening coverage across LGAs, coupled with higher VAS uptake among wealthier and more educated households, suggests that existing MNCHW and routine delivery platforms may not sufficiently address equity in access. Integration of VAS into the well-established SMC campaign, which already achieves near-universal reach, represents a promising strategy to close these gaps.</w:t>
      </w:r>
    </w:p>
    <w:p w14:paraId="171C769F" w14:textId="77777777" w:rsidR="00167106" w:rsidRPr="00167106" w:rsidRDefault="00167106" w:rsidP="00167106">
      <w:pPr>
        <w:numPr>
          <w:ilvl w:val="0"/>
          <w:numId w:val="19"/>
        </w:numPr>
        <w:spacing w:line="360" w:lineRule="auto"/>
        <w:jc w:val="both"/>
        <w:rPr>
          <w:rFonts w:ascii="Garamond" w:hAnsi="Garamond"/>
          <w:lang w:val="en-GB"/>
        </w:rPr>
      </w:pPr>
      <w:r w:rsidRPr="00167106">
        <w:rPr>
          <w:rFonts w:ascii="Garamond" w:hAnsi="Garamond"/>
          <w:b/>
          <w:bCs/>
          <w:lang w:val="en-GB"/>
        </w:rPr>
        <w:t>Objective 2: Perceptions of the Effect of Removing VAS from MNCHW on Demand and Uptake</w:t>
      </w:r>
      <w:r w:rsidRPr="00167106">
        <w:rPr>
          <w:rFonts w:ascii="Garamond" w:hAnsi="Garamond"/>
          <w:lang w:val="en-GB"/>
        </w:rPr>
        <w:br/>
        <w:t>Quantitative data indicate that while awareness of VAS is relatively high, awareness of MNCHW as a campaign platform is much lower. This may reflect limited effectiveness of traditional MNCHW outreach strategies and supports the rationale for exploring SMC as an alternative platform for VAS delivery. Qualitative evidence (to be further reported) will be crucial to understanding health worker, policy maker, and caregiver perceptions about the integration and potential unintended effects on demand for MNCHW services.</w:t>
      </w:r>
    </w:p>
    <w:p w14:paraId="39FF76EC" w14:textId="77777777" w:rsidR="00167106" w:rsidRPr="00167106" w:rsidRDefault="00167106" w:rsidP="00167106">
      <w:pPr>
        <w:numPr>
          <w:ilvl w:val="0"/>
          <w:numId w:val="19"/>
        </w:numPr>
        <w:spacing w:line="360" w:lineRule="auto"/>
        <w:jc w:val="both"/>
        <w:rPr>
          <w:rFonts w:ascii="Garamond" w:hAnsi="Garamond"/>
          <w:lang w:val="en-GB"/>
        </w:rPr>
      </w:pPr>
      <w:r w:rsidRPr="00167106">
        <w:rPr>
          <w:rFonts w:ascii="Garamond" w:hAnsi="Garamond"/>
          <w:b/>
          <w:bCs/>
          <w:lang w:val="en-GB"/>
        </w:rPr>
        <w:t>Objective 3: Coverage of Vitamin A Supplementation Following Integration with SMC</w:t>
      </w:r>
      <w:r w:rsidRPr="00167106">
        <w:rPr>
          <w:rFonts w:ascii="Garamond" w:hAnsi="Garamond"/>
          <w:lang w:val="en-GB"/>
        </w:rPr>
        <w:br/>
        <w:t>At baseline, less than 40% of eligible children received VAS in the last six months. The fact that over half of all VAS doses were delivered through health facilities highlights ongoing access barriers for the most vulnerable children. Integration with SMC, which uses a door-to-door model, holds potential to increase reach—particularly to underserved and hard-to-reach populations.</w:t>
      </w:r>
    </w:p>
    <w:p w14:paraId="18820850" w14:textId="77777777" w:rsidR="00167106" w:rsidRPr="00167106" w:rsidRDefault="00167106" w:rsidP="00167106">
      <w:pPr>
        <w:numPr>
          <w:ilvl w:val="0"/>
          <w:numId w:val="19"/>
        </w:numPr>
        <w:spacing w:line="360" w:lineRule="auto"/>
        <w:jc w:val="both"/>
        <w:rPr>
          <w:rFonts w:ascii="Garamond" w:hAnsi="Garamond"/>
          <w:lang w:val="en-GB"/>
        </w:rPr>
      </w:pPr>
      <w:r w:rsidRPr="00167106">
        <w:rPr>
          <w:rFonts w:ascii="Garamond" w:hAnsi="Garamond"/>
          <w:b/>
          <w:bCs/>
          <w:lang w:val="en-GB"/>
        </w:rPr>
        <w:t>Objective 4: To Monitor the Coverage and Quality of SMC Following Integration with VAS</w:t>
      </w:r>
      <w:r w:rsidRPr="00167106">
        <w:rPr>
          <w:rFonts w:ascii="Garamond" w:hAnsi="Garamond"/>
          <w:lang w:val="en-GB"/>
        </w:rPr>
        <w:br/>
        <w:t>The near-universal SMC coverage for Day 1 observed at baseline provides a robust platform for future integration. No significant adverse effects on SMC coverage or caregiver satisfaction were identified in the baseline data, suggesting that the addition of VAS is unlikely to compromise the quality or acceptability of SMC delivery. However, monitoring of potential operational challenges and adverse events will be essential during implementation.</w:t>
      </w:r>
    </w:p>
    <w:p w14:paraId="4F85B0F7" w14:textId="5E22A1B3" w:rsidR="00167106" w:rsidRPr="00167106" w:rsidRDefault="00167106" w:rsidP="00167106">
      <w:pPr>
        <w:spacing w:line="360" w:lineRule="auto"/>
        <w:jc w:val="both"/>
        <w:rPr>
          <w:rFonts w:ascii="Garamond" w:hAnsi="Garamond"/>
          <w:b/>
          <w:bCs/>
          <w:lang w:val="en-GB"/>
        </w:rPr>
      </w:pPr>
      <w:r>
        <w:rPr>
          <w:rFonts w:ascii="Garamond" w:hAnsi="Garamond"/>
          <w:b/>
          <w:bCs/>
          <w:lang w:val="en-GB"/>
        </w:rPr>
        <w:t>6</w:t>
      </w:r>
      <w:r w:rsidRPr="00167106">
        <w:rPr>
          <w:rFonts w:ascii="Garamond" w:hAnsi="Garamond"/>
          <w:b/>
          <w:bCs/>
          <w:lang w:val="en-GB"/>
        </w:rPr>
        <w:t>.3 Strengths and Limitations</w:t>
      </w:r>
    </w:p>
    <w:p w14:paraId="56E2CDA5" w14:textId="77777777" w:rsidR="00167106" w:rsidRPr="00167106" w:rsidRDefault="00167106" w:rsidP="00167106">
      <w:pPr>
        <w:spacing w:line="360" w:lineRule="auto"/>
        <w:jc w:val="both"/>
        <w:rPr>
          <w:rFonts w:ascii="Garamond" w:hAnsi="Garamond"/>
          <w:b/>
          <w:bCs/>
          <w:lang w:val="en-GB"/>
        </w:rPr>
      </w:pPr>
      <w:r w:rsidRPr="00167106">
        <w:rPr>
          <w:rFonts w:ascii="Garamond" w:hAnsi="Garamond"/>
          <w:b/>
          <w:bCs/>
          <w:lang w:val="en-GB"/>
        </w:rPr>
        <w:lastRenderedPageBreak/>
        <w:t>Strengths</w:t>
      </w:r>
    </w:p>
    <w:p w14:paraId="55F80B95" w14:textId="77777777" w:rsidR="00167106" w:rsidRPr="00167106" w:rsidRDefault="00167106" w:rsidP="00167106">
      <w:pPr>
        <w:numPr>
          <w:ilvl w:val="0"/>
          <w:numId w:val="20"/>
        </w:numPr>
        <w:spacing w:line="360" w:lineRule="auto"/>
        <w:jc w:val="both"/>
        <w:rPr>
          <w:rFonts w:ascii="Garamond" w:hAnsi="Garamond"/>
          <w:lang w:val="en-GB"/>
        </w:rPr>
      </w:pPr>
      <w:r w:rsidRPr="00167106">
        <w:rPr>
          <w:rFonts w:ascii="Garamond" w:hAnsi="Garamond"/>
          <w:b/>
          <w:bCs/>
          <w:lang w:val="en-GB"/>
        </w:rPr>
        <w:t>Large, Representative Sample</w:t>
      </w:r>
      <w:r w:rsidRPr="00167106">
        <w:rPr>
          <w:rFonts w:ascii="Garamond" w:hAnsi="Garamond"/>
          <w:lang w:val="en-GB"/>
        </w:rPr>
        <w:t>: The study’s multi-stage cluster sampling design and inclusion of all 20 LGAs enhance the representativeness and generalizability of findings.</w:t>
      </w:r>
    </w:p>
    <w:p w14:paraId="27E12866" w14:textId="77777777" w:rsidR="00167106" w:rsidRPr="00167106" w:rsidRDefault="00167106" w:rsidP="00167106">
      <w:pPr>
        <w:numPr>
          <w:ilvl w:val="0"/>
          <w:numId w:val="20"/>
        </w:numPr>
        <w:spacing w:line="360" w:lineRule="auto"/>
        <w:jc w:val="both"/>
        <w:rPr>
          <w:rFonts w:ascii="Garamond" w:hAnsi="Garamond"/>
          <w:lang w:val="en-GB"/>
        </w:rPr>
      </w:pPr>
      <w:r w:rsidRPr="00167106">
        <w:rPr>
          <w:rFonts w:ascii="Garamond" w:hAnsi="Garamond"/>
          <w:b/>
          <w:bCs/>
          <w:lang w:val="en-GB"/>
        </w:rPr>
        <w:t>Mixed-Methods Approach</w:t>
      </w:r>
      <w:r w:rsidRPr="00167106">
        <w:rPr>
          <w:rFonts w:ascii="Garamond" w:hAnsi="Garamond"/>
          <w:lang w:val="en-GB"/>
        </w:rPr>
        <w:t>: The use of both quantitative and qualitative methods provides a holistic understanding of intervention coverage and the contextual factors influencing uptake.</w:t>
      </w:r>
    </w:p>
    <w:p w14:paraId="03D79FA9" w14:textId="77777777" w:rsidR="00167106" w:rsidRPr="00167106" w:rsidRDefault="00167106" w:rsidP="00167106">
      <w:pPr>
        <w:numPr>
          <w:ilvl w:val="0"/>
          <w:numId w:val="20"/>
        </w:numPr>
        <w:spacing w:line="360" w:lineRule="auto"/>
        <w:jc w:val="both"/>
        <w:rPr>
          <w:rFonts w:ascii="Garamond" w:hAnsi="Garamond"/>
          <w:lang w:val="en-GB"/>
        </w:rPr>
      </w:pPr>
      <w:r w:rsidRPr="00167106">
        <w:rPr>
          <w:rFonts w:ascii="Garamond" w:hAnsi="Garamond"/>
          <w:b/>
          <w:bCs/>
          <w:lang w:val="en-GB"/>
        </w:rPr>
        <w:t>Focus on Equity</w:t>
      </w:r>
      <w:r w:rsidRPr="00167106">
        <w:rPr>
          <w:rFonts w:ascii="Garamond" w:hAnsi="Garamond"/>
          <w:lang w:val="en-GB"/>
        </w:rPr>
        <w:t>: Stratified analysis by wealth and education enables the identification of gaps and inequities that may otherwise be masked by aggregate coverage estimates.</w:t>
      </w:r>
    </w:p>
    <w:p w14:paraId="0214B844" w14:textId="77777777" w:rsidR="00167106" w:rsidRPr="00167106" w:rsidRDefault="00167106" w:rsidP="00167106">
      <w:pPr>
        <w:spacing w:line="360" w:lineRule="auto"/>
        <w:jc w:val="both"/>
        <w:rPr>
          <w:rFonts w:ascii="Garamond" w:hAnsi="Garamond"/>
          <w:b/>
          <w:bCs/>
          <w:lang w:val="en-GB"/>
        </w:rPr>
      </w:pPr>
      <w:r w:rsidRPr="00167106">
        <w:rPr>
          <w:rFonts w:ascii="Garamond" w:hAnsi="Garamond"/>
          <w:b/>
          <w:bCs/>
          <w:lang w:val="en-GB"/>
        </w:rPr>
        <w:t>Limitations</w:t>
      </w:r>
    </w:p>
    <w:p w14:paraId="0EEE7BAA" w14:textId="77777777" w:rsidR="00167106" w:rsidRPr="00167106" w:rsidRDefault="00167106" w:rsidP="00167106">
      <w:pPr>
        <w:numPr>
          <w:ilvl w:val="0"/>
          <w:numId w:val="21"/>
        </w:numPr>
        <w:spacing w:line="360" w:lineRule="auto"/>
        <w:jc w:val="both"/>
        <w:rPr>
          <w:rFonts w:ascii="Garamond" w:hAnsi="Garamond"/>
          <w:lang w:val="en-GB"/>
        </w:rPr>
      </w:pPr>
      <w:r w:rsidRPr="00167106">
        <w:rPr>
          <w:rFonts w:ascii="Garamond" w:hAnsi="Garamond"/>
          <w:b/>
          <w:bCs/>
          <w:lang w:val="en-GB"/>
        </w:rPr>
        <w:t>Data Gaps and Recall Bias</w:t>
      </w:r>
      <w:r w:rsidRPr="00167106">
        <w:rPr>
          <w:rFonts w:ascii="Garamond" w:hAnsi="Garamond"/>
          <w:lang w:val="en-GB"/>
        </w:rPr>
        <w:t>: High rates of missing data for certain maternal indicators (e.g., IFAS, PNC), and reliance on caregiver recall, may introduce bias and limit the precision of some estimates.</w:t>
      </w:r>
    </w:p>
    <w:p w14:paraId="6E0ADC62" w14:textId="77777777" w:rsidR="00167106" w:rsidRPr="00167106" w:rsidRDefault="00167106" w:rsidP="00167106">
      <w:pPr>
        <w:numPr>
          <w:ilvl w:val="0"/>
          <w:numId w:val="21"/>
        </w:numPr>
        <w:spacing w:line="360" w:lineRule="auto"/>
        <w:jc w:val="both"/>
        <w:rPr>
          <w:rFonts w:ascii="Garamond" w:hAnsi="Garamond"/>
          <w:lang w:val="en-GB"/>
        </w:rPr>
      </w:pPr>
      <w:r w:rsidRPr="00167106">
        <w:rPr>
          <w:rFonts w:ascii="Garamond" w:hAnsi="Garamond"/>
          <w:b/>
          <w:bCs/>
          <w:lang w:val="en-GB"/>
        </w:rPr>
        <w:t>Incomplete Qualitative Analysis</w:t>
      </w:r>
      <w:r w:rsidRPr="00167106">
        <w:rPr>
          <w:rFonts w:ascii="Garamond" w:hAnsi="Garamond"/>
          <w:lang w:val="en-GB"/>
        </w:rPr>
        <w:t>: At this stage, only preliminary quantitative results are available. Full integration of qualitative findings is required to contextualize the quantitative data and offer deeper insights into the mechanisms driving coverage gaps.</w:t>
      </w:r>
    </w:p>
    <w:p w14:paraId="31B57B36" w14:textId="77777777" w:rsidR="00167106" w:rsidRPr="00167106" w:rsidRDefault="00167106" w:rsidP="00167106">
      <w:pPr>
        <w:numPr>
          <w:ilvl w:val="0"/>
          <w:numId w:val="21"/>
        </w:numPr>
        <w:spacing w:line="360" w:lineRule="auto"/>
        <w:jc w:val="both"/>
        <w:rPr>
          <w:rFonts w:ascii="Garamond" w:hAnsi="Garamond"/>
          <w:lang w:val="en-GB"/>
        </w:rPr>
      </w:pPr>
      <w:r w:rsidRPr="00167106">
        <w:rPr>
          <w:rFonts w:ascii="Garamond" w:hAnsi="Garamond"/>
          <w:b/>
          <w:bCs/>
          <w:lang w:val="en-GB"/>
        </w:rPr>
        <w:t>Potential Social Desirability Bias</w:t>
      </w:r>
      <w:r w:rsidRPr="00167106">
        <w:rPr>
          <w:rFonts w:ascii="Garamond" w:hAnsi="Garamond"/>
          <w:lang w:val="en-GB"/>
        </w:rPr>
        <w:t>: Self-reported satisfaction and service receipt may be subject to positive bias, particularly where caregivers wish to please interviewers or are concerned about social repercussions.</w:t>
      </w:r>
    </w:p>
    <w:p w14:paraId="1A4497C4" w14:textId="475C467C" w:rsidR="00167106" w:rsidRPr="00167106" w:rsidRDefault="00167106" w:rsidP="00167106">
      <w:pPr>
        <w:spacing w:line="360" w:lineRule="auto"/>
        <w:jc w:val="both"/>
        <w:rPr>
          <w:rFonts w:ascii="Garamond" w:hAnsi="Garamond"/>
          <w:b/>
          <w:bCs/>
          <w:lang w:val="en-GB"/>
        </w:rPr>
      </w:pPr>
      <w:r>
        <w:rPr>
          <w:rFonts w:ascii="Garamond" w:hAnsi="Garamond"/>
          <w:b/>
          <w:bCs/>
          <w:lang w:val="en-GB"/>
        </w:rPr>
        <w:t>6</w:t>
      </w:r>
      <w:r w:rsidRPr="00167106">
        <w:rPr>
          <w:rFonts w:ascii="Garamond" w:hAnsi="Garamond"/>
          <w:b/>
          <w:bCs/>
          <w:lang w:val="en-GB"/>
        </w:rPr>
        <w:t>.4 Implications for Policy and Programming</w:t>
      </w:r>
    </w:p>
    <w:p w14:paraId="547F092D" w14:textId="77777777" w:rsidR="00167106" w:rsidRPr="00167106" w:rsidRDefault="00167106" w:rsidP="00167106">
      <w:pPr>
        <w:spacing w:line="360" w:lineRule="auto"/>
        <w:jc w:val="both"/>
        <w:rPr>
          <w:rFonts w:ascii="Garamond" w:hAnsi="Garamond"/>
          <w:lang w:val="en-GB"/>
        </w:rPr>
      </w:pPr>
      <w:r w:rsidRPr="00167106">
        <w:rPr>
          <w:rFonts w:ascii="Garamond" w:hAnsi="Garamond"/>
          <w:lang w:val="en-GB"/>
        </w:rPr>
        <w:t>The findings of this baseline evaluation have several important implications:</w:t>
      </w:r>
    </w:p>
    <w:p w14:paraId="288FEE6C" w14:textId="2B3C46DC" w:rsidR="00167106" w:rsidRPr="00167106" w:rsidRDefault="00167106" w:rsidP="00167106">
      <w:pPr>
        <w:numPr>
          <w:ilvl w:val="0"/>
          <w:numId w:val="22"/>
        </w:numPr>
        <w:spacing w:line="360" w:lineRule="auto"/>
        <w:jc w:val="both"/>
        <w:rPr>
          <w:rFonts w:ascii="Garamond" w:hAnsi="Garamond"/>
          <w:lang w:val="en-GB"/>
        </w:rPr>
      </w:pPr>
      <w:r w:rsidRPr="00167106">
        <w:rPr>
          <w:rFonts w:ascii="Garamond" w:hAnsi="Garamond"/>
          <w:b/>
          <w:bCs/>
          <w:lang w:val="en-GB"/>
        </w:rPr>
        <w:t>Integrated Delivery for Equity</w:t>
      </w:r>
      <w:r w:rsidRPr="00167106">
        <w:rPr>
          <w:rFonts w:ascii="Garamond" w:hAnsi="Garamond"/>
          <w:lang w:val="en-GB"/>
        </w:rPr>
        <w:t>: The persistent gaps in VAS, deworming, and MUAC coverage</w:t>
      </w:r>
      <w:r>
        <w:rPr>
          <w:rFonts w:ascii="Garamond" w:hAnsi="Garamond"/>
          <w:lang w:val="en-GB"/>
        </w:rPr>
        <w:t xml:space="preserve">, </w:t>
      </w:r>
      <w:r w:rsidRPr="00167106">
        <w:rPr>
          <w:rFonts w:ascii="Garamond" w:hAnsi="Garamond"/>
          <w:lang w:val="en-GB"/>
        </w:rPr>
        <w:t>particularly among poorer and less-educated households</w:t>
      </w:r>
      <w:r>
        <w:rPr>
          <w:rFonts w:ascii="Garamond" w:hAnsi="Garamond"/>
          <w:lang w:val="en-GB"/>
        </w:rPr>
        <w:t xml:space="preserve">, </w:t>
      </w:r>
      <w:r w:rsidRPr="00167106">
        <w:rPr>
          <w:rFonts w:ascii="Garamond" w:hAnsi="Garamond"/>
          <w:lang w:val="en-GB"/>
        </w:rPr>
        <w:t>underscore the need for integrated, community-based delivery platforms capable of reaching the most vulnerable. Leveraging the high coverage and acceptability of SMC for co-delivery of VAS and related interventions offers a viable pathway to accelerate progress toward universal coverage.</w:t>
      </w:r>
    </w:p>
    <w:p w14:paraId="34BA6E5E" w14:textId="77777777" w:rsidR="00167106" w:rsidRPr="00167106" w:rsidRDefault="00167106" w:rsidP="00167106">
      <w:pPr>
        <w:numPr>
          <w:ilvl w:val="0"/>
          <w:numId w:val="22"/>
        </w:numPr>
        <w:spacing w:line="360" w:lineRule="auto"/>
        <w:jc w:val="both"/>
        <w:rPr>
          <w:rFonts w:ascii="Garamond" w:hAnsi="Garamond"/>
          <w:lang w:val="en-GB"/>
        </w:rPr>
      </w:pPr>
      <w:r w:rsidRPr="00167106">
        <w:rPr>
          <w:rFonts w:ascii="Garamond" w:hAnsi="Garamond"/>
          <w:b/>
          <w:bCs/>
          <w:lang w:val="en-GB"/>
        </w:rPr>
        <w:lastRenderedPageBreak/>
        <w:t>Strengthening Community Health Systems</w:t>
      </w:r>
      <w:r w:rsidRPr="00167106">
        <w:rPr>
          <w:rFonts w:ascii="Garamond" w:hAnsi="Garamond"/>
          <w:lang w:val="en-GB"/>
        </w:rPr>
        <w:t>: Health facility staff and community drug distributors are pivotal in the dissemination of information and service delivery. Investments in training, supervision, and logistical support for these frontline workers are likely to yield dividends in improving coverage, data quality, and caregiver engagement.</w:t>
      </w:r>
    </w:p>
    <w:p w14:paraId="6F28CA69" w14:textId="77777777" w:rsidR="00167106" w:rsidRPr="00167106" w:rsidRDefault="00167106" w:rsidP="00167106">
      <w:pPr>
        <w:numPr>
          <w:ilvl w:val="0"/>
          <w:numId w:val="22"/>
        </w:numPr>
        <w:spacing w:line="360" w:lineRule="auto"/>
        <w:jc w:val="both"/>
        <w:rPr>
          <w:rFonts w:ascii="Garamond" w:hAnsi="Garamond"/>
          <w:lang w:val="en-GB"/>
        </w:rPr>
      </w:pPr>
      <w:r w:rsidRPr="00167106">
        <w:rPr>
          <w:rFonts w:ascii="Garamond" w:hAnsi="Garamond"/>
          <w:b/>
          <w:bCs/>
          <w:lang w:val="en-GB"/>
        </w:rPr>
        <w:t>Data Quality and Monitoring</w:t>
      </w:r>
      <w:r w:rsidRPr="00167106">
        <w:rPr>
          <w:rFonts w:ascii="Garamond" w:hAnsi="Garamond"/>
          <w:lang w:val="en-GB"/>
        </w:rPr>
        <w:t xml:space="preserve">: Addressing the observed data gaps—especially for maternal health indicators—should be prioritized in subsequent survey rounds. Enhanced data collection, validation, and supervisory systems are essential to ensure that progress can be accurately </w:t>
      </w:r>
      <w:proofErr w:type="gramStart"/>
      <w:r w:rsidRPr="00167106">
        <w:rPr>
          <w:rFonts w:ascii="Garamond" w:hAnsi="Garamond"/>
          <w:lang w:val="en-GB"/>
        </w:rPr>
        <w:t>tracked</w:t>
      </w:r>
      <w:proofErr w:type="gramEnd"/>
      <w:r w:rsidRPr="00167106">
        <w:rPr>
          <w:rFonts w:ascii="Garamond" w:hAnsi="Garamond"/>
          <w:lang w:val="en-GB"/>
        </w:rPr>
        <w:t xml:space="preserve"> and program adjustments made as necessary.</w:t>
      </w:r>
    </w:p>
    <w:p w14:paraId="0AEA1C2D" w14:textId="77777777" w:rsidR="00167106" w:rsidRPr="00167106" w:rsidRDefault="00167106" w:rsidP="00167106">
      <w:pPr>
        <w:numPr>
          <w:ilvl w:val="0"/>
          <w:numId w:val="22"/>
        </w:numPr>
        <w:spacing w:line="360" w:lineRule="auto"/>
        <w:jc w:val="both"/>
        <w:rPr>
          <w:rFonts w:ascii="Garamond" w:hAnsi="Garamond"/>
          <w:lang w:val="en-GB"/>
        </w:rPr>
      </w:pPr>
      <w:r w:rsidRPr="00167106">
        <w:rPr>
          <w:rFonts w:ascii="Garamond" w:hAnsi="Garamond"/>
          <w:b/>
          <w:bCs/>
          <w:lang w:val="en-GB"/>
        </w:rPr>
        <w:t>Policy Dialogue and Scale-Up</w:t>
      </w:r>
      <w:r w:rsidRPr="00167106">
        <w:rPr>
          <w:rFonts w:ascii="Garamond" w:hAnsi="Garamond"/>
          <w:lang w:val="en-GB"/>
        </w:rPr>
        <w:t>: Evidence from this evaluation will be critical in informing national policy discussions on integrated child health interventions. The operational lessons and empirical results from Bauchi State can guide adaptation and scale-up in other settings with similar health system and population profiles.</w:t>
      </w:r>
      <w:bookmarkEnd w:id="0"/>
    </w:p>
    <w:sectPr w:rsidR="00167106" w:rsidRPr="0016710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8A4D2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3DE38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1C5001"/>
    <w:multiLevelType w:val="multilevel"/>
    <w:tmpl w:val="D5EA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411"/>
    <w:multiLevelType w:val="multilevel"/>
    <w:tmpl w:val="A7DAD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805657D"/>
    <w:multiLevelType w:val="multilevel"/>
    <w:tmpl w:val="7E06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C6F78"/>
    <w:multiLevelType w:val="hybridMultilevel"/>
    <w:tmpl w:val="2F4A8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DA6977"/>
    <w:multiLevelType w:val="multilevel"/>
    <w:tmpl w:val="A81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4FFE"/>
    <w:multiLevelType w:val="multilevel"/>
    <w:tmpl w:val="04DC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F25F7"/>
    <w:multiLevelType w:val="multilevel"/>
    <w:tmpl w:val="7CA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D3E0E"/>
    <w:multiLevelType w:val="multilevel"/>
    <w:tmpl w:val="CFF2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411E0"/>
    <w:multiLevelType w:val="multilevel"/>
    <w:tmpl w:val="DCA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E6CD9"/>
    <w:multiLevelType w:val="multilevel"/>
    <w:tmpl w:val="2B1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17E19"/>
    <w:multiLevelType w:val="hybridMultilevel"/>
    <w:tmpl w:val="07E2D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F21B92"/>
    <w:multiLevelType w:val="multilevel"/>
    <w:tmpl w:val="D3B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8351C"/>
    <w:multiLevelType w:val="hybridMultilevel"/>
    <w:tmpl w:val="445862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C037441"/>
    <w:multiLevelType w:val="multilevel"/>
    <w:tmpl w:val="58B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67D0E"/>
    <w:multiLevelType w:val="hybridMultilevel"/>
    <w:tmpl w:val="9F96D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6A26C1"/>
    <w:multiLevelType w:val="hybridMultilevel"/>
    <w:tmpl w:val="B0E6D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801A06"/>
    <w:multiLevelType w:val="multilevel"/>
    <w:tmpl w:val="FB64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862E1"/>
    <w:multiLevelType w:val="multilevel"/>
    <w:tmpl w:val="371A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C33A5"/>
    <w:multiLevelType w:val="multilevel"/>
    <w:tmpl w:val="E46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74907"/>
    <w:multiLevelType w:val="multilevel"/>
    <w:tmpl w:val="BB8C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01785"/>
    <w:multiLevelType w:val="multilevel"/>
    <w:tmpl w:val="FC7A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533984"/>
    <w:multiLevelType w:val="multilevel"/>
    <w:tmpl w:val="6D00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155276">
    <w:abstractNumId w:val="0"/>
  </w:num>
  <w:num w:numId="2" w16cid:durableId="1860192882">
    <w:abstractNumId w:val="1"/>
  </w:num>
  <w:num w:numId="3" w16cid:durableId="117410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327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365500">
    <w:abstractNumId w:val="1"/>
  </w:num>
  <w:num w:numId="6" w16cid:durableId="1663389139">
    <w:abstractNumId w:val="1"/>
  </w:num>
  <w:num w:numId="7" w16cid:durableId="198132710">
    <w:abstractNumId w:val="1"/>
  </w:num>
  <w:num w:numId="8" w16cid:durableId="1816799077">
    <w:abstractNumId w:val="11"/>
  </w:num>
  <w:num w:numId="9" w16cid:durableId="376703508">
    <w:abstractNumId w:val="7"/>
  </w:num>
  <w:num w:numId="10" w16cid:durableId="1182352269">
    <w:abstractNumId w:val="14"/>
  </w:num>
  <w:num w:numId="11" w16cid:durableId="1977491328">
    <w:abstractNumId w:val="12"/>
  </w:num>
  <w:num w:numId="12" w16cid:durableId="1864124857">
    <w:abstractNumId w:val="15"/>
  </w:num>
  <w:num w:numId="13" w16cid:durableId="1825388264">
    <w:abstractNumId w:val="21"/>
  </w:num>
  <w:num w:numId="14" w16cid:durableId="769158821">
    <w:abstractNumId w:val="10"/>
  </w:num>
  <w:num w:numId="15" w16cid:durableId="1132480685">
    <w:abstractNumId w:val="23"/>
  </w:num>
  <w:num w:numId="16" w16cid:durableId="2063819306">
    <w:abstractNumId w:val="20"/>
  </w:num>
  <w:num w:numId="17" w16cid:durableId="85735861">
    <w:abstractNumId w:val="9"/>
  </w:num>
  <w:num w:numId="18" w16cid:durableId="1686052894">
    <w:abstractNumId w:val="19"/>
  </w:num>
  <w:num w:numId="19" w16cid:durableId="340742873">
    <w:abstractNumId w:val="18"/>
  </w:num>
  <w:num w:numId="20" w16cid:durableId="1668702825">
    <w:abstractNumId w:val="8"/>
  </w:num>
  <w:num w:numId="21" w16cid:durableId="464978259">
    <w:abstractNumId w:val="6"/>
  </w:num>
  <w:num w:numId="22" w16cid:durableId="1654094693">
    <w:abstractNumId w:val="4"/>
  </w:num>
  <w:num w:numId="23" w16cid:durableId="435249563">
    <w:abstractNumId w:val="22"/>
  </w:num>
  <w:num w:numId="24" w16cid:durableId="945189054">
    <w:abstractNumId w:val="13"/>
  </w:num>
  <w:num w:numId="25" w16cid:durableId="802580858">
    <w:abstractNumId w:val="2"/>
  </w:num>
  <w:num w:numId="26" w16cid:durableId="556013077">
    <w:abstractNumId w:val="17"/>
  </w:num>
  <w:num w:numId="27" w16cid:durableId="1195968193">
    <w:abstractNumId w:val="16"/>
  </w:num>
  <w:num w:numId="28" w16cid:durableId="1017855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C4E03"/>
    <w:rsid w:val="00006865"/>
    <w:rsid w:val="00086D7F"/>
    <w:rsid w:val="00100E9A"/>
    <w:rsid w:val="00100F11"/>
    <w:rsid w:val="0012444F"/>
    <w:rsid w:val="00162391"/>
    <w:rsid w:val="00167106"/>
    <w:rsid w:val="00326F04"/>
    <w:rsid w:val="00365899"/>
    <w:rsid w:val="003661E0"/>
    <w:rsid w:val="003A3E9D"/>
    <w:rsid w:val="00453FEA"/>
    <w:rsid w:val="005054B9"/>
    <w:rsid w:val="005871E7"/>
    <w:rsid w:val="005912CC"/>
    <w:rsid w:val="00651AAF"/>
    <w:rsid w:val="006B151C"/>
    <w:rsid w:val="00726C48"/>
    <w:rsid w:val="00753C51"/>
    <w:rsid w:val="007D1668"/>
    <w:rsid w:val="008612C5"/>
    <w:rsid w:val="00865143"/>
    <w:rsid w:val="00AC1D45"/>
    <w:rsid w:val="00AC4E03"/>
    <w:rsid w:val="00AD7D88"/>
    <w:rsid w:val="00B30AAE"/>
    <w:rsid w:val="00B741C6"/>
    <w:rsid w:val="00BF17AC"/>
    <w:rsid w:val="00C02D4C"/>
    <w:rsid w:val="00C145E6"/>
    <w:rsid w:val="00C45809"/>
    <w:rsid w:val="00D021CE"/>
    <w:rsid w:val="00D92D87"/>
    <w:rsid w:val="00DC4FB6"/>
    <w:rsid w:val="00E50712"/>
    <w:rsid w:val="00EA751D"/>
    <w:rsid w:val="00F1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DA77D"/>
  <w15:docId w15:val="{FDD9AED0-5A79-4F17-9625-71491512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3E9D"/>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5871E7"/>
    <w:pPr>
      <w:spacing w:after="100"/>
    </w:pPr>
  </w:style>
  <w:style w:type="paragraph" w:styleId="TOC2">
    <w:name w:val="toc 2"/>
    <w:basedOn w:val="Normal"/>
    <w:next w:val="Normal"/>
    <w:autoRedefine/>
    <w:uiPriority w:val="39"/>
    <w:rsid w:val="005871E7"/>
    <w:pPr>
      <w:spacing w:after="100"/>
      <w:ind w:left="240"/>
    </w:pPr>
  </w:style>
  <w:style w:type="character" w:customStyle="1" w:styleId="BodyTextChar">
    <w:name w:val="Body Text Char"/>
    <w:basedOn w:val="DefaultParagraphFont"/>
    <w:link w:val="BodyText"/>
    <w:rsid w:val="00B741C6"/>
  </w:style>
  <w:style w:type="table" w:styleId="TableGrid">
    <w:name w:val="Table Grid"/>
    <w:basedOn w:val="TableNormal"/>
    <w:rsid w:val="00100E9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3661E0"/>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rsid w:val="00865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09333">
      <w:bodyDiv w:val="1"/>
      <w:marLeft w:val="0"/>
      <w:marRight w:val="0"/>
      <w:marTop w:val="0"/>
      <w:marBottom w:val="0"/>
      <w:divBdr>
        <w:top w:val="none" w:sz="0" w:space="0" w:color="auto"/>
        <w:left w:val="none" w:sz="0" w:space="0" w:color="auto"/>
        <w:bottom w:val="none" w:sz="0" w:space="0" w:color="auto"/>
        <w:right w:val="none" w:sz="0" w:space="0" w:color="auto"/>
      </w:divBdr>
    </w:div>
    <w:div w:id="289629044">
      <w:bodyDiv w:val="1"/>
      <w:marLeft w:val="0"/>
      <w:marRight w:val="0"/>
      <w:marTop w:val="0"/>
      <w:marBottom w:val="0"/>
      <w:divBdr>
        <w:top w:val="none" w:sz="0" w:space="0" w:color="auto"/>
        <w:left w:val="none" w:sz="0" w:space="0" w:color="auto"/>
        <w:bottom w:val="none" w:sz="0" w:space="0" w:color="auto"/>
        <w:right w:val="none" w:sz="0" w:space="0" w:color="auto"/>
      </w:divBdr>
    </w:div>
    <w:div w:id="318579746">
      <w:bodyDiv w:val="1"/>
      <w:marLeft w:val="0"/>
      <w:marRight w:val="0"/>
      <w:marTop w:val="0"/>
      <w:marBottom w:val="0"/>
      <w:divBdr>
        <w:top w:val="none" w:sz="0" w:space="0" w:color="auto"/>
        <w:left w:val="none" w:sz="0" w:space="0" w:color="auto"/>
        <w:bottom w:val="none" w:sz="0" w:space="0" w:color="auto"/>
        <w:right w:val="none" w:sz="0" w:space="0" w:color="auto"/>
      </w:divBdr>
    </w:div>
    <w:div w:id="318769516">
      <w:bodyDiv w:val="1"/>
      <w:marLeft w:val="0"/>
      <w:marRight w:val="0"/>
      <w:marTop w:val="0"/>
      <w:marBottom w:val="0"/>
      <w:divBdr>
        <w:top w:val="none" w:sz="0" w:space="0" w:color="auto"/>
        <w:left w:val="none" w:sz="0" w:space="0" w:color="auto"/>
        <w:bottom w:val="none" w:sz="0" w:space="0" w:color="auto"/>
        <w:right w:val="none" w:sz="0" w:space="0" w:color="auto"/>
      </w:divBdr>
    </w:div>
    <w:div w:id="430903542">
      <w:bodyDiv w:val="1"/>
      <w:marLeft w:val="0"/>
      <w:marRight w:val="0"/>
      <w:marTop w:val="0"/>
      <w:marBottom w:val="0"/>
      <w:divBdr>
        <w:top w:val="none" w:sz="0" w:space="0" w:color="auto"/>
        <w:left w:val="none" w:sz="0" w:space="0" w:color="auto"/>
        <w:bottom w:val="none" w:sz="0" w:space="0" w:color="auto"/>
        <w:right w:val="none" w:sz="0" w:space="0" w:color="auto"/>
      </w:divBdr>
    </w:div>
    <w:div w:id="465704670">
      <w:bodyDiv w:val="1"/>
      <w:marLeft w:val="0"/>
      <w:marRight w:val="0"/>
      <w:marTop w:val="0"/>
      <w:marBottom w:val="0"/>
      <w:divBdr>
        <w:top w:val="none" w:sz="0" w:space="0" w:color="auto"/>
        <w:left w:val="none" w:sz="0" w:space="0" w:color="auto"/>
        <w:bottom w:val="none" w:sz="0" w:space="0" w:color="auto"/>
        <w:right w:val="none" w:sz="0" w:space="0" w:color="auto"/>
      </w:divBdr>
    </w:div>
    <w:div w:id="468982002">
      <w:bodyDiv w:val="1"/>
      <w:marLeft w:val="0"/>
      <w:marRight w:val="0"/>
      <w:marTop w:val="0"/>
      <w:marBottom w:val="0"/>
      <w:divBdr>
        <w:top w:val="none" w:sz="0" w:space="0" w:color="auto"/>
        <w:left w:val="none" w:sz="0" w:space="0" w:color="auto"/>
        <w:bottom w:val="none" w:sz="0" w:space="0" w:color="auto"/>
        <w:right w:val="none" w:sz="0" w:space="0" w:color="auto"/>
      </w:divBdr>
    </w:div>
    <w:div w:id="532574309">
      <w:bodyDiv w:val="1"/>
      <w:marLeft w:val="0"/>
      <w:marRight w:val="0"/>
      <w:marTop w:val="0"/>
      <w:marBottom w:val="0"/>
      <w:divBdr>
        <w:top w:val="none" w:sz="0" w:space="0" w:color="auto"/>
        <w:left w:val="none" w:sz="0" w:space="0" w:color="auto"/>
        <w:bottom w:val="none" w:sz="0" w:space="0" w:color="auto"/>
        <w:right w:val="none" w:sz="0" w:space="0" w:color="auto"/>
      </w:divBdr>
    </w:div>
    <w:div w:id="571087399">
      <w:bodyDiv w:val="1"/>
      <w:marLeft w:val="0"/>
      <w:marRight w:val="0"/>
      <w:marTop w:val="0"/>
      <w:marBottom w:val="0"/>
      <w:divBdr>
        <w:top w:val="none" w:sz="0" w:space="0" w:color="auto"/>
        <w:left w:val="none" w:sz="0" w:space="0" w:color="auto"/>
        <w:bottom w:val="none" w:sz="0" w:space="0" w:color="auto"/>
        <w:right w:val="none" w:sz="0" w:space="0" w:color="auto"/>
      </w:divBdr>
    </w:div>
    <w:div w:id="589856376">
      <w:bodyDiv w:val="1"/>
      <w:marLeft w:val="0"/>
      <w:marRight w:val="0"/>
      <w:marTop w:val="0"/>
      <w:marBottom w:val="0"/>
      <w:divBdr>
        <w:top w:val="none" w:sz="0" w:space="0" w:color="auto"/>
        <w:left w:val="none" w:sz="0" w:space="0" w:color="auto"/>
        <w:bottom w:val="none" w:sz="0" w:space="0" w:color="auto"/>
        <w:right w:val="none" w:sz="0" w:space="0" w:color="auto"/>
      </w:divBdr>
      <w:divsChild>
        <w:div w:id="123477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376011">
      <w:bodyDiv w:val="1"/>
      <w:marLeft w:val="0"/>
      <w:marRight w:val="0"/>
      <w:marTop w:val="0"/>
      <w:marBottom w:val="0"/>
      <w:divBdr>
        <w:top w:val="none" w:sz="0" w:space="0" w:color="auto"/>
        <w:left w:val="none" w:sz="0" w:space="0" w:color="auto"/>
        <w:bottom w:val="none" w:sz="0" w:space="0" w:color="auto"/>
        <w:right w:val="none" w:sz="0" w:space="0" w:color="auto"/>
      </w:divBdr>
    </w:div>
    <w:div w:id="708457451">
      <w:bodyDiv w:val="1"/>
      <w:marLeft w:val="0"/>
      <w:marRight w:val="0"/>
      <w:marTop w:val="0"/>
      <w:marBottom w:val="0"/>
      <w:divBdr>
        <w:top w:val="none" w:sz="0" w:space="0" w:color="auto"/>
        <w:left w:val="none" w:sz="0" w:space="0" w:color="auto"/>
        <w:bottom w:val="none" w:sz="0" w:space="0" w:color="auto"/>
        <w:right w:val="none" w:sz="0" w:space="0" w:color="auto"/>
      </w:divBdr>
    </w:div>
    <w:div w:id="741147672">
      <w:bodyDiv w:val="1"/>
      <w:marLeft w:val="0"/>
      <w:marRight w:val="0"/>
      <w:marTop w:val="0"/>
      <w:marBottom w:val="0"/>
      <w:divBdr>
        <w:top w:val="none" w:sz="0" w:space="0" w:color="auto"/>
        <w:left w:val="none" w:sz="0" w:space="0" w:color="auto"/>
        <w:bottom w:val="none" w:sz="0" w:space="0" w:color="auto"/>
        <w:right w:val="none" w:sz="0" w:space="0" w:color="auto"/>
      </w:divBdr>
    </w:div>
    <w:div w:id="876311788">
      <w:bodyDiv w:val="1"/>
      <w:marLeft w:val="0"/>
      <w:marRight w:val="0"/>
      <w:marTop w:val="0"/>
      <w:marBottom w:val="0"/>
      <w:divBdr>
        <w:top w:val="none" w:sz="0" w:space="0" w:color="auto"/>
        <w:left w:val="none" w:sz="0" w:space="0" w:color="auto"/>
        <w:bottom w:val="none" w:sz="0" w:space="0" w:color="auto"/>
        <w:right w:val="none" w:sz="0" w:space="0" w:color="auto"/>
      </w:divBdr>
    </w:div>
    <w:div w:id="1010596274">
      <w:bodyDiv w:val="1"/>
      <w:marLeft w:val="0"/>
      <w:marRight w:val="0"/>
      <w:marTop w:val="0"/>
      <w:marBottom w:val="0"/>
      <w:divBdr>
        <w:top w:val="none" w:sz="0" w:space="0" w:color="auto"/>
        <w:left w:val="none" w:sz="0" w:space="0" w:color="auto"/>
        <w:bottom w:val="none" w:sz="0" w:space="0" w:color="auto"/>
        <w:right w:val="none" w:sz="0" w:space="0" w:color="auto"/>
      </w:divBdr>
    </w:div>
    <w:div w:id="1282106532">
      <w:bodyDiv w:val="1"/>
      <w:marLeft w:val="0"/>
      <w:marRight w:val="0"/>
      <w:marTop w:val="0"/>
      <w:marBottom w:val="0"/>
      <w:divBdr>
        <w:top w:val="none" w:sz="0" w:space="0" w:color="auto"/>
        <w:left w:val="none" w:sz="0" w:space="0" w:color="auto"/>
        <w:bottom w:val="none" w:sz="0" w:space="0" w:color="auto"/>
        <w:right w:val="none" w:sz="0" w:space="0" w:color="auto"/>
      </w:divBdr>
      <w:divsChild>
        <w:div w:id="158225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29274">
      <w:bodyDiv w:val="1"/>
      <w:marLeft w:val="0"/>
      <w:marRight w:val="0"/>
      <w:marTop w:val="0"/>
      <w:marBottom w:val="0"/>
      <w:divBdr>
        <w:top w:val="none" w:sz="0" w:space="0" w:color="auto"/>
        <w:left w:val="none" w:sz="0" w:space="0" w:color="auto"/>
        <w:bottom w:val="none" w:sz="0" w:space="0" w:color="auto"/>
        <w:right w:val="none" w:sz="0" w:space="0" w:color="auto"/>
      </w:divBdr>
    </w:div>
    <w:div w:id="1307277707">
      <w:bodyDiv w:val="1"/>
      <w:marLeft w:val="0"/>
      <w:marRight w:val="0"/>
      <w:marTop w:val="0"/>
      <w:marBottom w:val="0"/>
      <w:divBdr>
        <w:top w:val="none" w:sz="0" w:space="0" w:color="auto"/>
        <w:left w:val="none" w:sz="0" w:space="0" w:color="auto"/>
        <w:bottom w:val="none" w:sz="0" w:space="0" w:color="auto"/>
        <w:right w:val="none" w:sz="0" w:space="0" w:color="auto"/>
      </w:divBdr>
    </w:div>
    <w:div w:id="1351105003">
      <w:bodyDiv w:val="1"/>
      <w:marLeft w:val="0"/>
      <w:marRight w:val="0"/>
      <w:marTop w:val="0"/>
      <w:marBottom w:val="0"/>
      <w:divBdr>
        <w:top w:val="none" w:sz="0" w:space="0" w:color="auto"/>
        <w:left w:val="none" w:sz="0" w:space="0" w:color="auto"/>
        <w:bottom w:val="none" w:sz="0" w:space="0" w:color="auto"/>
        <w:right w:val="none" w:sz="0" w:space="0" w:color="auto"/>
      </w:divBdr>
    </w:div>
    <w:div w:id="1414425362">
      <w:bodyDiv w:val="1"/>
      <w:marLeft w:val="0"/>
      <w:marRight w:val="0"/>
      <w:marTop w:val="0"/>
      <w:marBottom w:val="0"/>
      <w:divBdr>
        <w:top w:val="none" w:sz="0" w:space="0" w:color="auto"/>
        <w:left w:val="none" w:sz="0" w:space="0" w:color="auto"/>
        <w:bottom w:val="none" w:sz="0" w:space="0" w:color="auto"/>
        <w:right w:val="none" w:sz="0" w:space="0" w:color="auto"/>
      </w:divBdr>
    </w:div>
    <w:div w:id="1539003061">
      <w:bodyDiv w:val="1"/>
      <w:marLeft w:val="0"/>
      <w:marRight w:val="0"/>
      <w:marTop w:val="0"/>
      <w:marBottom w:val="0"/>
      <w:divBdr>
        <w:top w:val="none" w:sz="0" w:space="0" w:color="auto"/>
        <w:left w:val="none" w:sz="0" w:space="0" w:color="auto"/>
        <w:bottom w:val="none" w:sz="0" w:space="0" w:color="auto"/>
        <w:right w:val="none" w:sz="0" w:space="0" w:color="auto"/>
      </w:divBdr>
    </w:div>
    <w:div w:id="1640263065">
      <w:bodyDiv w:val="1"/>
      <w:marLeft w:val="0"/>
      <w:marRight w:val="0"/>
      <w:marTop w:val="0"/>
      <w:marBottom w:val="0"/>
      <w:divBdr>
        <w:top w:val="none" w:sz="0" w:space="0" w:color="auto"/>
        <w:left w:val="none" w:sz="0" w:space="0" w:color="auto"/>
        <w:bottom w:val="none" w:sz="0" w:space="0" w:color="auto"/>
        <w:right w:val="none" w:sz="0" w:space="0" w:color="auto"/>
      </w:divBdr>
    </w:div>
    <w:div w:id="1862668690">
      <w:bodyDiv w:val="1"/>
      <w:marLeft w:val="0"/>
      <w:marRight w:val="0"/>
      <w:marTop w:val="0"/>
      <w:marBottom w:val="0"/>
      <w:divBdr>
        <w:top w:val="none" w:sz="0" w:space="0" w:color="auto"/>
        <w:left w:val="none" w:sz="0" w:space="0" w:color="auto"/>
        <w:bottom w:val="none" w:sz="0" w:space="0" w:color="auto"/>
        <w:right w:val="none" w:sz="0" w:space="0" w:color="auto"/>
      </w:divBdr>
    </w:div>
    <w:div w:id="1939212730">
      <w:bodyDiv w:val="1"/>
      <w:marLeft w:val="0"/>
      <w:marRight w:val="0"/>
      <w:marTop w:val="0"/>
      <w:marBottom w:val="0"/>
      <w:divBdr>
        <w:top w:val="none" w:sz="0" w:space="0" w:color="auto"/>
        <w:left w:val="none" w:sz="0" w:space="0" w:color="auto"/>
        <w:bottom w:val="none" w:sz="0" w:space="0" w:color="auto"/>
        <w:right w:val="none" w:sz="0" w:space="0" w:color="auto"/>
      </w:divBdr>
      <w:divsChild>
        <w:div w:id="117888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527267">
      <w:bodyDiv w:val="1"/>
      <w:marLeft w:val="0"/>
      <w:marRight w:val="0"/>
      <w:marTop w:val="0"/>
      <w:marBottom w:val="0"/>
      <w:divBdr>
        <w:top w:val="none" w:sz="0" w:space="0" w:color="auto"/>
        <w:left w:val="none" w:sz="0" w:space="0" w:color="auto"/>
        <w:bottom w:val="none" w:sz="0" w:space="0" w:color="auto"/>
        <w:right w:val="none" w:sz="0" w:space="0" w:color="auto"/>
      </w:divBdr>
      <w:divsChild>
        <w:div w:id="10101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689353">
      <w:bodyDiv w:val="1"/>
      <w:marLeft w:val="0"/>
      <w:marRight w:val="0"/>
      <w:marTop w:val="0"/>
      <w:marBottom w:val="0"/>
      <w:divBdr>
        <w:top w:val="none" w:sz="0" w:space="0" w:color="auto"/>
        <w:left w:val="none" w:sz="0" w:space="0" w:color="auto"/>
        <w:bottom w:val="none" w:sz="0" w:space="0" w:color="auto"/>
        <w:right w:val="none" w:sz="0" w:space="0" w:color="auto"/>
      </w:divBdr>
    </w:div>
    <w:div w:id="2143887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8119E-89D0-4891-831F-6E88864A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39</Pages>
  <Words>10292</Words>
  <Characters>59901</Characters>
  <Application>Microsoft Office Word</Application>
  <DocSecurity>0</DocSecurity>
  <Lines>1663</Lines>
  <Paragraphs>1189</Paragraphs>
  <ScaleCrop>false</ScaleCrop>
  <HeadingPairs>
    <vt:vector size="2" baseType="variant">
      <vt:variant>
        <vt:lpstr>Title</vt:lpstr>
      </vt:variant>
      <vt:variant>
        <vt:i4>1</vt:i4>
      </vt:variant>
    </vt:vector>
  </HeadingPairs>
  <TitlesOfParts>
    <vt:vector size="1" baseType="lpstr">
      <vt:lpstr>MC SMC+VAS Baseline Analysis Bauchi State, Nigeria – 2025</vt:lpstr>
    </vt:vector>
  </TitlesOfParts>
  <Company/>
  <LinksUpToDate>false</LinksUpToDate>
  <CharactersWithSpaces>69004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 SMC+VAS Baseline Analysis Bauchi State, Nigeria – 2025</dc:title>
  <dc:creator>Malaria Consortium</dc:creator>
  <cp:keywords/>
  <cp:lastModifiedBy>AbdulHafiz Abba</cp:lastModifiedBy>
  <cp:revision>11</cp:revision>
  <dcterms:created xsi:type="dcterms:W3CDTF">2025-06-23T10:02:00Z</dcterms:created>
  <dcterms:modified xsi:type="dcterms:W3CDTF">2025-06-24T09:02:00Z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2025</vt:lpwstr>
  </property>
  <property fmtid="{D5CDD505-2E9C-101B-9397-08002B2CF9AE}" pid="3" name="documentclass">
    <vt:lpwstr>report</vt:lpwstr>
  </property>
  <property fmtid="{D5CDD505-2E9C-101B-9397-08002B2CF9AE}" pid="4" name="fontsize">
    <vt:lpwstr>11pt</vt:lpwstr>
  </property>
  <property fmtid="{D5CDD505-2E9C-101B-9397-08002B2CF9AE}" pid="5" name="geometry">
    <vt:lpwstr>margin=1in</vt:lpwstr>
  </property>
  <property fmtid="{D5CDD505-2E9C-101B-9397-08002B2CF9AE}" pid="6" name="output">
    <vt:lpwstr/>
  </property>
  <property fmtid="{D5CDD505-2E9C-101B-9397-08002B2CF9AE}" pid="7" name="GrammarlyDocumentId">
    <vt:lpwstr>d8c619d9-ead9-4424-8214-8c3492f205aa</vt:lpwstr>
  </property>
</Properties>
</file>