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619A7" w14:textId="6E7C16D9" w:rsidR="00AC4E03" w:rsidRDefault="00000000" w:rsidP="005871E7">
      <w:pPr>
        <w:pStyle w:val="Title"/>
        <w:spacing w:line="360" w:lineRule="auto"/>
        <w:rPr>
          <w:rFonts w:ascii="Garamond" w:hAnsi="Garamond"/>
          <w:i/>
          <w:iCs/>
        </w:rPr>
      </w:pPr>
      <w:r w:rsidRPr="005871E7">
        <w:rPr>
          <w:rFonts w:ascii="Garamond" w:hAnsi="Garamond"/>
          <w:b/>
          <w:bCs/>
        </w:rPr>
        <w:t xml:space="preserve">MC SMC+VAS Baseline </w:t>
      </w:r>
      <w:r w:rsidR="005871E7">
        <w:rPr>
          <w:rFonts w:ascii="Garamond" w:hAnsi="Garamond"/>
          <w:b/>
          <w:bCs/>
        </w:rPr>
        <w:t>Report</w:t>
      </w:r>
      <w:r w:rsidRPr="005871E7">
        <w:rPr>
          <w:rFonts w:ascii="Garamond" w:hAnsi="Garamond"/>
        </w:rPr>
        <w:br/>
      </w:r>
      <w:r w:rsidRPr="005871E7">
        <w:rPr>
          <w:rFonts w:ascii="Garamond" w:hAnsi="Garamond"/>
          <w:i/>
          <w:iCs/>
        </w:rPr>
        <w:t>Bauchi State, Nigeria – 2025</w:t>
      </w:r>
    </w:p>
    <w:p w14:paraId="6C0FA701" w14:textId="77777777" w:rsidR="005871E7" w:rsidRDefault="005871E7" w:rsidP="005871E7">
      <w:pPr>
        <w:pStyle w:val="BodyText"/>
      </w:pPr>
    </w:p>
    <w:p w14:paraId="7F82E8EC" w14:textId="77777777" w:rsidR="005871E7" w:rsidRDefault="005871E7" w:rsidP="005871E7">
      <w:pPr>
        <w:pStyle w:val="BodyText"/>
      </w:pPr>
    </w:p>
    <w:p w14:paraId="038CC65B" w14:textId="77777777" w:rsidR="005871E7" w:rsidRDefault="005871E7" w:rsidP="005871E7">
      <w:pPr>
        <w:pStyle w:val="BodyText"/>
      </w:pPr>
    </w:p>
    <w:p w14:paraId="4B324FB6" w14:textId="77777777" w:rsidR="005871E7" w:rsidRDefault="005871E7" w:rsidP="005871E7">
      <w:pPr>
        <w:pStyle w:val="BodyText"/>
      </w:pPr>
    </w:p>
    <w:p w14:paraId="0FCF948C" w14:textId="77777777" w:rsidR="005871E7" w:rsidRDefault="005871E7" w:rsidP="005871E7">
      <w:pPr>
        <w:pStyle w:val="BodyText"/>
      </w:pPr>
    </w:p>
    <w:p w14:paraId="152EC523" w14:textId="77777777" w:rsidR="005871E7" w:rsidRDefault="005871E7" w:rsidP="005871E7">
      <w:pPr>
        <w:spacing w:after="173" w:line="265" w:lineRule="auto"/>
        <w:ind w:left="274" w:right="185"/>
        <w:jc w:val="center"/>
      </w:pPr>
      <w:proofErr w:type="gramStart"/>
      <w:r>
        <w:t>By</w:t>
      </w:r>
      <w:proofErr w:type="gramEnd"/>
      <w:r>
        <w:t xml:space="preserve"> </w:t>
      </w:r>
    </w:p>
    <w:p w14:paraId="5CF20324" w14:textId="2F316650" w:rsidR="005871E7" w:rsidRPr="005871E7" w:rsidRDefault="005871E7" w:rsidP="005871E7">
      <w:pPr>
        <w:spacing w:after="173" w:line="265" w:lineRule="auto"/>
        <w:ind w:left="274" w:right="185"/>
        <w:jc w:val="center"/>
        <w:rPr>
          <w:rFonts w:ascii="Garamond" w:hAnsi="Garamond"/>
        </w:rPr>
      </w:pPr>
      <w:r w:rsidRPr="005871E7">
        <w:rPr>
          <w:rFonts w:ascii="Garamond" w:hAnsi="Garamond"/>
          <w:b/>
        </w:rPr>
        <w:t xml:space="preserve">SMC-VAS Program, Niger State </w:t>
      </w:r>
    </w:p>
    <w:p w14:paraId="607ECC4D" w14:textId="4B6F65CD" w:rsidR="005871E7" w:rsidRDefault="005871E7" w:rsidP="005871E7">
      <w:pPr>
        <w:pStyle w:val="BodyText"/>
      </w:pPr>
    </w:p>
    <w:p w14:paraId="0C2CC1A2" w14:textId="77777777" w:rsidR="005871E7" w:rsidRDefault="005871E7" w:rsidP="005871E7">
      <w:pPr>
        <w:pStyle w:val="BodyText"/>
      </w:pPr>
    </w:p>
    <w:p w14:paraId="0EAC1306" w14:textId="77777777" w:rsidR="005871E7" w:rsidRPr="005871E7" w:rsidRDefault="005871E7" w:rsidP="005871E7">
      <w:pPr>
        <w:pStyle w:val="BodyText"/>
      </w:pPr>
    </w:p>
    <w:p w14:paraId="3632E6E6" w14:textId="77777777" w:rsidR="00AC4E03" w:rsidRDefault="00000000" w:rsidP="005871E7">
      <w:pPr>
        <w:pStyle w:val="Author"/>
        <w:spacing w:line="360" w:lineRule="auto"/>
        <w:rPr>
          <w:rFonts w:ascii="Garamond" w:hAnsi="Garamond"/>
        </w:rPr>
      </w:pPr>
      <w:r w:rsidRPr="005871E7">
        <w:rPr>
          <w:rFonts w:ascii="Garamond" w:hAnsi="Garamond"/>
        </w:rPr>
        <w:t>Malaria Consortium</w:t>
      </w:r>
    </w:p>
    <w:p w14:paraId="33277996" w14:textId="77777777" w:rsidR="005871E7" w:rsidRDefault="005871E7" w:rsidP="005871E7">
      <w:pPr>
        <w:pStyle w:val="BodyText"/>
      </w:pPr>
    </w:p>
    <w:p w14:paraId="4BA5C8F2" w14:textId="77777777" w:rsidR="005871E7" w:rsidRPr="005871E7" w:rsidRDefault="005871E7" w:rsidP="005871E7">
      <w:pPr>
        <w:pStyle w:val="BodyText"/>
      </w:pPr>
    </w:p>
    <w:p w14:paraId="59D0C71E" w14:textId="77777777" w:rsidR="00AC4E03" w:rsidRDefault="00000000" w:rsidP="005871E7">
      <w:pPr>
        <w:pStyle w:val="Date"/>
        <w:spacing w:line="360" w:lineRule="auto"/>
        <w:rPr>
          <w:rFonts w:ascii="Garamond" w:hAnsi="Garamond"/>
        </w:rPr>
      </w:pPr>
      <w:r w:rsidRPr="005871E7">
        <w:rPr>
          <w:rFonts w:ascii="Garamond" w:hAnsi="Garamond"/>
        </w:rPr>
        <w:t>June 23, 2025</w:t>
      </w:r>
    </w:p>
    <w:p w14:paraId="2411FFF8" w14:textId="77777777" w:rsidR="005871E7" w:rsidRDefault="005871E7" w:rsidP="005871E7">
      <w:pPr>
        <w:pStyle w:val="BodyText"/>
      </w:pPr>
    </w:p>
    <w:p w14:paraId="40E7E1E6" w14:textId="77777777" w:rsidR="005871E7" w:rsidRDefault="005871E7" w:rsidP="005871E7">
      <w:pPr>
        <w:pStyle w:val="BodyText"/>
      </w:pPr>
    </w:p>
    <w:p w14:paraId="07A188D1" w14:textId="77777777" w:rsidR="005871E7" w:rsidRDefault="005871E7" w:rsidP="005871E7">
      <w:pPr>
        <w:pStyle w:val="BodyText"/>
      </w:pPr>
    </w:p>
    <w:p w14:paraId="38592E02" w14:textId="77777777" w:rsidR="005871E7" w:rsidRDefault="005871E7" w:rsidP="005871E7">
      <w:pPr>
        <w:pStyle w:val="BodyText"/>
      </w:pPr>
    </w:p>
    <w:p w14:paraId="46D69763" w14:textId="77777777" w:rsidR="005871E7" w:rsidRDefault="005871E7" w:rsidP="005871E7">
      <w:pPr>
        <w:pStyle w:val="BodyText"/>
      </w:pPr>
    </w:p>
    <w:p w14:paraId="43D8A1C5" w14:textId="77777777" w:rsidR="005871E7" w:rsidRDefault="005871E7" w:rsidP="005871E7">
      <w:pPr>
        <w:pStyle w:val="BodyText"/>
      </w:pPr>
    </w:p>
    <w:p w14:paraId="149FE9B3" w14:textId="77777777" w:rsidR="005871E7" w:rsidRDefault="005871E7" w:rsidP="005871E7">
      <w:pPr>
        <w:pStyle w:val="BodyText"/>
      </w:pPr>
    </w:p>
    <w:p w14:paraId="709EE6C1" w14:textId="77777777" w:rsidR="005871E7" w:rsidRDefault="005871E7" w:rsidP="005871E7">
      <w:pPr>
        <w:pStyle w:val="BodyText"/>
      </w:pPr>
    </w:p>
    <w:sdt>
      <w:sdtPr>
        <w:rPr>
          <w:rFonts w:ascii="Garamond" w:eastAsiaTheme="minorHAnsi" w:hAnsi="Garamond" w:cstheme="minorBidi"/>
          <w:color w:val="auto"/>
          <w:sz w:val="24"/>
          <w:szCs w:val="24"/>
        </w:rPr>
        <w:id w:val="-368150132"/>
        <w:docPartObj>
          <w:docPartGallery w:val="Table of Contents"/>
          <w:docPartUnique/>
        </w:docPartObj>
      </w:sdtPr>
      <w:sdtContent>
        <w:p w14:paraId="3973A144" w14:textId="77777777" w:rsidR="00AC4E03" w:rsidRPr="005871E7" w:rsidRDefault="00000000" w:rsidP="005871E7">
          <w:pPr>
            <w:pStyle w:val="TOCHeading"/>
            <w:spacing w:line="360" w:lineRule="auto"/>
            <w:jc w:val="both"/>
            <w:rPr>
              <w:rFonts w:ascii="Garamond" w:hAnsi="Garamond"/>
            </w:rPr>
          </w:pPr>
          <w:r w:rsidRPr="005871E7">
            <w:rPr>
              <w:rFonts w:ascii="Garamond" w:hAnsi="Garamond"/>
            </w:rPr>
            <w:t>Table of Contents</w:t>
          </w:r>
        </w:p>
        <w:p w14:paraId="23FE7F9A" w14:textId="77777777" w:rsidR="005871E7" w:rsidRPr="005871E7" w:rsidRDefault="00000000" w:rsidP="005871E7">
          <w:pPr>
            <w:pStyle w:val="TOC1"/>
            <w:tabs>
              <w:tab w:val="right" w:leader="dot" w:pos="9350"/>
            </w:tabs>
            <w:spacing w:line="360" w:lineRule="auto"/>
            <w:jc w:val="both"/>
            <w:rPr>
              <w:rFonts w:ascii="Garamond" w:hAnsi="Garamond"/>
              <w:noProof/>
            </w:rPr>
          </w:pPr>
          <w:r w:rsidRPr="005871E7">
            <w:rPr>
              <w:rFonts w:ascii="Garamond" w:hAnsi="Garamond"/>
            </w:rPr>
            <w:fldChar w:fldCharType="begin"/>
          </w:r>
          <w:r w:rsidRPr="005871E7">
            <w:rPr>
              <w:rFonts w:ascii="Garamond" w:hAnsi="Garamond"/>
            </w:rPr>
            <w:instrText>TOC \o "1-2" \h \z \u</w:instrText>
          </w:r>
          <w:r w:rsidRPr="005871E7">
            <w:rPr>
              <w:rFonts w:ascii="Garamond" w:hAnsi="Garamond"/>
            </w:rPr>
            <w:fldChar w:fldCharType="separate"/>
          </w:r>
          <w:hyperlink w:anchor="_Toc201568990" w:history="1">
            <w:r w:rsidR="005871E7" w:rsidRPr="005871E7">
              <w:rPr>
                <w:rStyle w:val="Hyperlink"/>
                <w:rFonts w:ascii="Garamond" w:hAnsi="Garamond"/>
                <w:noProof/>
              </w:rPr>
              <w:t>Introduction</w:t>
            </w:r>
            <w:r w:rsidR="005871E7" w:rsidRPr="005871E7">
              <w:rPr>
                <w:rFonts w:ascii="Garamond" w:hAnsi="Garamond"/>
                <w:noProof/>
                <w:webHidden/>
              </w:rPr>
              <w:tab/>
            </w:r>
            <w:r w:rsidR="005871E7" w:rsidRPr="005871E7">
              <w:rPr>
                <w:rFonts w:ascii="Garamond" w:hAnsi="Garamond"/>
                <w:noProof/>
                <w:webHidden/>
              </w:rPr>
              <w:fldChar w:fldCharType="begin"/>
            </w:r>
            <w:r w:rsidR="005871E7" w:rsidRPr="005871E7">
              <w:rPr>
                <w:rFonts w:ascii="Garamond" w:hAnsi="Garamond"/>
                <w:noProof/>
                <w:webHidden/>
              </w:rPr>
              <w:instrText xml:space="preserve"> PAGEREF _Toc201568990 \h </w:instrText>
            </w:r>
            <w:r w:rsidR="005871E7" w:rsidRPr="005871E7">
              <w:rPr>
                <w:rFonts w:ascii="Garamond" w:hAnsi="Garamond"/>
                <w:noProof/>
                <w:webHidden/>
              </w:rPr>
            </w:r>
            <w:r w:rsidR="005871E7" w:rsidRPr="005871E7">
              <w:rPr>
                <w:rFonts w:ascii="Garamond" w:hAnsi="Garamond"/>
                <w:noProof/>
                <w:webHidden/>
              </w:rPr>
              <w:fldChar w:fldCharType="separate"/>
            </w:r>
            <w:r w:rsidR="005871E7" w:rsidRPr="005871E7">
              <w:rPr>
                <w:rFonts w:ascii="Garamond" w:hAnsi="Garamond"/>
                <w:noProof/>
                <w:webHidden/>
              </w:rPr>
              <w:t>1</w:t>
            </w:r>
            <w:r w:rsidR="005871E7" w:rsidRPr="005871E7">
              <w:rPr>
                <w:rFonts w:ascii="Garamond" w:hAnsi="Garamond"/>
                <w:noProof/>
                <w:webHidden/>
              </w:rPr>
              <w:fldChar w:fldCharType="end"/>
            </w:r>
          </w:hyperlink>
        </w:p>
        <w:p w14:paraId="7571FEE0" w14:textId="77777777" w:rsidR="005871E7" w:rsidRPr="005871E7" w:rsidRDefault="005871E7" w:rsidP="005871E7">
          <w:pPr>
            <w:pStyle w:val="TOC1"/>
            <w:tabs>
              <w:tab w:val="right" w:leader="dot" w:pos="9350"/>
            </w:tabs>
            <w:spacing w:line="360" w:lineRule="auto"/>
            <w:jc w:val="both"/>
            <w:rPr>
              <w:rFonts w:ascii="Garamond" w:hAnsi="Garamond"/>
              <w:noProof/>
            </w:rPr>
          </w:pPr>
          <w:hyperlink w:anchor="_Toc201568991" w:history="1">
            <w:r w:rsidRPr="005871E7">
              <w:rPr>
                <w:rStyle w:val="Hyperlink"/>
                <w:rFonts w:ascii="Garamond" w:hAnsi="Garamond"/>
                <w:noProof/>
              </w:rPr>
              <w:t>Study Objectives</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_Toc201568991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314BBF9A" w14:textId="77777777" w:rsidR="005871E7" w:rsidRPr="005871E7" w:rsidRDefault="005871E7" w:rsidP="005871E7">
          <w:pPr>
            <w:pStyle w:val="TOC2"/>
            <w:tabs>
              <w:tab w:val="right" w:leader="dot" w:pos="9350"/>
            </w:tabs>
            <w:spacing w:line="360" w:lineRule="auto"/>
            <w:jc w:val="both"/>
            <w:rPr>
              <w:rFonts w:ascii="Garamond" w:hAnsi="Garamond"/>
              <w:noProof/>
            </w:rPr>
          </w:pPr>
          <w:hyperlink w:anchor="_Toc201568992" w:history="1">
            <w:r w:rsidRPr="005871E7">
              <w:rPr>
                <w:rStyle w:val="Hyperlink"/>
                <w:rFonts w:ascii="Garamond" w:hAnsi="Garamond"/>
                <w:noProof/>
              </w:rPr>
              <w:t>Aim of the Study</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_Toc201568992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420243E6" w14:textId="77777777" w:rsidR="005871E7" w:rsidRPr="005871E7" w:rsidRDefault="005871E7" w:rsidP="005871E7">
          <w:pPr>
            <w:pStyle w:val="TOC2"/>
            <w:tabs>
              <w:tab w:val="right" w:leader="dot" w:pos="9350"/>
            </w:tabs>
            <w:spacing w:line="360" w:lineRule="auto"/>
            <w:jc w:val="both"/>
            <w:rPr>
              <w:rFonts w:ascii="Garamond" w:hAnsi="Garamond"/>
              <w:noProof/>
            </w:rPr>
          </w:pPr>
          <w:hyperlink w:anchor="_Toc201568993" w:history="1">
            <w:r w:rsidRPr="005871E7">
              <w:rPr>
                <w:rStyle w:val="Hyperlink"/>
                <w:rFonts w:ascii="Garamond" w:hAnsi="Garamond"/>
                <w:noProof/>
              </w:rPr>
              <w:t>Specific Objectives</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_Toc201568993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6BF396EF" w14:textId="77777777" w:rsidR="005871E7" w:rsidRPr="005871E7" w:rsidRDefault="005871E7" w:rsidP="005871E7">
          <w:pPr>
            <w:pStyle w:val="TOC2"/>
            <w:tabs>
              <w:tab w:val="right" w:leader="dot" w:pos="9350"/>
            </w:tabs>
            <w:spacing w:line="360" w:lineRule="auto"/>
            <w:jc w:val="both"/>
            <w:rPr>
              <w:rFonts w:ascii="Garamond" w:hAnsi="Garamond"/>
              <w:noProof/>
            </w:rPr>
          </w:pPr>
          <w:hyperlink w:anchor="_Toc201568994" w:history="1">
            <w:r w:rsidRPr="005871E7">
              <w:rPr>
                <w:rStyle w:val="Hyperlink"/>
                <w:rFonts w:ascii="Garamond" w:hAnsi="Garamond"/>
                <w:noProof/>
              </w:rPr>
              <w:t>Research Questions</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_Toc201568994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7AF23A7E" w14:textId="77777777" w:rsidR="005871E7" w:rsidRPr="005871E7" w:rsidRDefault="005871E7" w:rsidP="005871E7">
          <w:pPr>
            <w:pStyle w:val="TOC2"/>
            <w:tabs>
              <w:tab w:val="right" w:leader="dot" w:pos="9350"/>
            </w:tabs>
            <w:spacing w:line="360" w:lineRule="auto"/>
            <w:jc w:val="both"/>
            <w:rPr>
              <w:rFonts w:ascii="Garamond" w:hAnsi="Garamond"/>
              <w:noProof/>
            </w:rPr>
          </w:pPr>
          <w:hyperlink w:anchor="_Toc201568995" w:history="1">
            <w:r w:rsidRPr="005871E7">
              <w:rPr>
                <w:rStyle w:val="Hyperlink"/>
                <w:rFonts w:ascii="Garamond" w:hAnsi="Garamond"/>
                <w:noProof/>
              </w:rPr>
              <w:t>Significance of the Study</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_Toc201568995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39BAF4BA" w14:textId="77777777" w:rsidR="005871E7" w:rsidRPr="005871E7" w:rsidRDefault="005871E7" w:rsidP="005871E7">
          <w:pPr>
            <w:pStyle w:val="TOC1"/>
            <w:tabs>
              <w:tab w:val="right" w:leader="dot" w:pos="9350"/>
            </w:tabs>
            <w:spacing w:line="360" w:lineRule="auto"/>
            <w:jc w:val="both"/>
            <w:rPr>
              <w:rFonts w:ascii="Garamond" w:hAnsi="Garamond"/>
              <w:noProof/>
            </w:rPr>
          </w:pPr>
          <w:hyperlink w:anchor="_Toc201568996" w:history="1">
            <w:r w:rsidRPr="005871E7">
              <w:rPr>
                <w:rStyle w:val="Hyperlink"/>
                <w:rFonts w:ascii="Garamond" w:hAnsi="Garamond"/>
                <w:noProof/>
              </w:rPr>
              <w:t>Study Design and Methods</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_Toc201568996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544B4E46" w14:textId="77777777" w:rsidR="005871E7" w:rsidRPr="005871E7" w:rsidRDefault="005871E7" w:rsidP="005871E7">
          <w:pPr>
            <w:pStyle w:val="TOC2"/>
            <w:tabs>
              <w:tab w:val="right" w:leader="dot" w:pos="9350"/>
            </w:tabs>
            <w:spacing w:line="360" w:lineRule="auto"/>
            <w:jc w:val="both"/>
            <w:rPr>
              <w:rFonts w:ascii="Garamond" w:hAnsi="Garamond"/>
              <w:noProof/>
            </w:rPr>
          </w:pPr>
          <w:hyperlink w:anchor="_Toc201568997" w:history="1">
            <w:r w:rsidRPr="005871E7">
              <w:rPr>
                <w:rStyle w:val="Hyperlink"/>
                <w:rFonts w:ascii="Garamond" w:hAnsi="Garamond"/>
                <w:noProof/>
              </w:rPr>
              <w:t>Study Design</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_Toc201568997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6806B0F0" w14:textId="77777777" w:rsidR="005871E7" w:rsidRPr="005871E7" w:rsidRDefault="005871E7" w:rsidP="005871E7">
          <w:pPr>
            <w:pStyle w:val="TOC2"/>
            <w:tabs>
              <w:tab w:val="right" w:leader="dot" w:pos="9350"/>
            </w:tabs>
            <w:spacing w:line="360" w:lineRule="auto"/>
            <w:jc w:val="both"/>
            <w:rPr>
              <w:rFonts w:ascii="Garamond" w:hAnsi="Garamond"/>
              <w:noProof/>
            </w:rPr>
          </w:pPr>
          <w:hyperlink w:anchor="_Toc201568998" w:history="1">
            <w:r w:rsidRPr="005871E7">
              <w:rPr>
                <w:rStyle w:val="Hyperlink"/>
                <w:rFonts w:ascii="Garamond" w:hAnsi="Garamond"/>
                <w:noProof/>
              </w:rPr>
              <w:t>Sampling and Analysis Methods</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_Toc201568998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63BEDB66" w14:textId="77777777" w:rsidR="005871E7" w:rsidRPr="005871E7" w:rsidRDefault="005871E7" w:rsidP="005871E7">
          <w:pPr>
            <w:pStyle w:val="TOC2"/>
            <w:tabs>
              <w:tab w:val="right" w:leader="dot" w:pos="9350"/>
            </w:tabs>
            <w:spacing w:line="360" w:lineRule="auto"/>
            <w:jc w:val="both"/>
            <w:rPr>
              <w:rFonts w:ascii="Garamond" w:hAnsi="Garamond"/>
              <w:noProof/>
            </w:rPr>
          </w:pPr>
          <w:hyperlink w:anchor="_Toc201568999" w:history="1">
            <w:r w:rsidRPr="005871E7">
              <w:rPr>
                <w:rStyle w:val="Hyperlink"/>
                <w:rFonts w:ascii="Garamond" w:hAnsi="Garamond"/>
                <w:noProof/>
              </w:rPr>
              <w:t>Data Collection Procedures</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_Toc201568999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2BF3CDB2" w14:textId="77777777" w:rsidR="005871E7" w:rsidRPr="005871E7" w:rsidRDefault="005871E7" w:rsidP="005871E7">
          <w:pPr>
            <w:pStyle w:val="TOC2"/>
            <w:tabs>
              <w:tab w:val="right" w:leader="dot" w:pos="9350"/>
            </w:tabs>
            <w:spacing w:line="360" w:lineRule="auto"/>
            <w:jc w:val="both"/>
            <w:rPr>
              <w:rFonts w:ascii="Garamond" w:hAnsi="Garamond"/>
              <w:noProof/>
            </w:rPr>
          </w:pPr>
          <w:hyperlink w:anchor="_Toc201569000" w:history="1">
            <w:r w:rsidRPr="005871E7">
              <w:rPr>
                <w:rStyle w:val="Hyperlink"/>
                <w:rFonts w:ascii="Garamond" w:hAnsi="Garamond"/>
                <w:noProof/>
              </w:rPr>
              <w:t>Analytical Methods</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_Toc201569000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4326DFE2" w14:textId="77777777" w:rsidR="005871E7" w:rsidRPr="005871E7" w:rsidRDefault="005871E7" w:rsidP="005871E7">
          <w:pPr>
            <w:pStyle w:val="TOC2"/>
            <w:tabs>
              <w:tab w:val="right" w:leader="dot" w:pos="9350"/>
            </w:tabs>
            <w:spacing w:line="360" w:lineRule="auto"/>
            <w:jc w:val="both"/>
            <w:rPr>
              <w:rFonts w:ascii="Garamond" w:hAnsi="Garamond"/>
              <w:noProof/>
            </w:rPr>
          </w:pPr>
          <w:hyperlink w:anchor="_Toc201569001" w:history="1">
            <w:r w:rsidRPr="005871E7">
              <w:rPr>
                <w:rStyle w:val="Hyperlink"/>
                <w:rFonts w:ascii="Garamond" w:hAnsi="Garamond"/>
                <w:noProof/>
              </w:rPr>
              <w:t>Ethical Considerations</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_Toc201569001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4567C01C" w14:textId="77777777" w:rsidR="005871E7" w:rsidRPr="005871E7" w:rsidRDefault="005871E7" w:rsidP="005871E7">
          <w:pPr>
            <w:pStyle w:val="TOC2"/>
            <w:tabs>
              <w:tab w:val="right" w:leader="dot" w:pos="9350"/>
            </w:tabs>
            <w:spacing w:line="360" w:lineRule="auto"/>
            <w:jc w:val="both"/>
            <w:rPr>
              <w:rFonts w:ascii="Garamond" w:hAnsi="Garamond"/>
              <w:noProof/>
            </w:rPr>
          </w:pPr>
          <w:hyperlink w:anchor="_Toc201569002" w:history="1">
            <w:r w:rsidRPr="005871E7">
              <w:rPr>
                <w:rStyle w:val="Hyperlink"/>
                <w:rFonts w:ascii="Garamond" w:hAnsi="Garamond"/>
                <w:noProof/>
              </w:rPr>
              <w:t>Study Limitations</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_Toc201569002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3841D84D" w14:textId="77777777" w:rsidR="005871E7" w:rsidRPr="005871E7" w:rsidRDefault="005871E7" w:rsidP="005871E7">
          <w:pPr>
            <w:pStyle w:val="TOC1"/>
            <w:tabs>
              <w:tab w:val="right" w:leader="dot" w:pos="9350"/>
            </w:tabs>
            <w:spacing w:line="360" w:lineRule="auto"/>
            <w:jc w:val="both"/>
            <w:rPr>
              <w:rFonts w:ascii="Garamond" w:hAnsi="Garamond"/>
              <w:noProof/>
            </w:rPr>
          </w:pPr>
          <w:hyperlink w:anchor="_Toc201569003" w:history="1">
            <w:r w:rsidRPr="005871E7">
              <w:rPr>
                <w:rStyle w:val="Hyperlink"/>
                <w:rFonts w:ascii="Garamond" w:hAnsi="Garamond"/>
                <w:noProof/>
              </w:rPr>
              <w:t>Results</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_Toc201569003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5113CB8D" w14:textId="77777777" w:rsidR="005871E7" w:rsidRPr="005871E7" w:rsidRDefault="005871E7" w:rsidP="005871E7">
          <w:pPr>
            <w:pStyle w:val="TOC2"/>
            <w:tabs>
              <w:tab w:val="right" w:leader="dot" w:pos="9350"/>
            </w:tabs>
            <w:spacing w:line="360" w:lineRule="auto"/>
            <w:jc w:val="both"/>
            <w:rPr>
              <w:rFonts w:ascii="Garamond" w:hAnsi="Garamond"/>
              <w:noProof/>
            </w:rPr>
          </w:pPr>
          <w:hyperlink w:anchor="_Toc201569004" w:history="1">
            <w:r w:rsidRPr="005871E7">
              <w:rPr>
                <w:rStyle w:val="Hyperlink"/>
                <w:rFonts w:ascii="Garamond" w:hAnsi="Garamond"/>
                <w:noProof/>
              </w:rPr>
              <w:t>Demographic Profile of Respondents</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_Toc201569004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7F74C84B" w14:textId="77777777" w:rsidR="005871E7" w:rsidRPr="005871E7" w:rsidRDefault="005871E7" w:rsidP="005871E7">
          <w:pPr>
            <w:pStyle w:val="TOC2"/>
            <w:tabs>
              <w:tab w:val="right" w:leader="dot" w:pos="9350"/>
            </w:tabs>
            <w:spacing w:line="360" w:lineRule="auto"/>
            <w:jc w:val="both"/>
            <w:rPr>
              <w:rFonts w:ascii="Garamond" w:hAnsi="Garamond"/>
              <w:noProof/>
            </w:rPr>
          </w:pPr>
          <w:hyperlink w:anchor="_Toc201569005" w:history="1">
            <w:r w:rsidRPr="005871E7">
              <w:rPr>
                <w:rStyle w:val="Hyperlink"/>
                <w:rFonts w:ascii="Garamond" w:hAnsi="Garamond"/>
                <w:noProof/>
              </w:rPr>
              <w:t>3. Age Distribution of Key Respondents</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_Toc201569005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3E34F0EA" w14:textId="77777777" w:rsidR="005871E7" w:rsidRPr="005871E7" w:rsidRDefault="005871E7" w:rsidP="005871E7">
          <w:pPr>
            <w:pStyle w:val="TOC2"/>
            <w:tabs>
              <w:tab w:val="right" w:leader="dot" w:pos="9350"/>
            </w:tabs>
            <w:spacing w:line="360" w:lineRule="auto"/>
            <w:jc w:val="both"/>
            <w:rPr>
              <w:rFonts w:ascii="Garamond" w:hAnsi="Garamond"/>
              <w:noProof/>
            </w:rPr>
          </w:pPr>
          <w:hyperlink w:anchor="_Toc201569006" w:history="1">
            <w:r w:rsidRPr="005871E7">
              <w:rPr>
                <w:rStyle w:val="Hyperlink"/>
                <w:rFonts w:ascii="Garamond" w:hAnsi="Garamond"/>
                <w:noProof/>
              </w:rPr>
              <w:t>4. Sex of Household Head</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_Toc201569006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100B0AAA" w14:textId="77777777" w:rsidR="005871E7" w:rsidRPr="005871E7" w:rsidRDefault="005871E7" w:rsidP="005871E7">
          <w:pPr>
            <w:pStyle w:val="TOC2"/>
            <w:tabs>
              <w:tab w:val="right" w:leader="dot" w:pos="9350"/>
            </w:tabs>
            <w:spacing w:line="360" w:lineRule="auto"/>
            <w:jc w:val="both"/>
            <w:rPr>
              <w:rFonts w:ascii="Garamond" w:hAnsi="Garamond"/>
              <w:noProof/>
            </w:rPr>
          </w:pPr>
          <w:hyperlink w:anchor="_Toc201569007" w:history="1">
            <w:r w:rsidRPr="005871E7">
              <w:rPr>
                <w:rStyle w:val="Hyperlink"/>
                <w:rFonts w:ascii="Garamond" w:hAnsi="Garamond"/>
                <w:noProof/>
              </w:rPr>
              <w:t>Education Level of Household Heads</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_Toc201569007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12A4E471" w14:textId="77777777" w:rsidR="005871E7" w:rsidRPr="005871E7" w:rsidRDefault="005871E7" w:rsidP="005871E7">
          <w:pPr>
            <w:pStyle w:val="TOC2"/>
            <w:tabs>
              <w:tab w:val="right" w:leader="dot" w:pos="9350"/>
            </w:tabs>
            <w:spacing w:line="360" w:lineRule="auto"/>
            <w:jc w:val="both"/>
            <w:rPr>
              <w:rFonts w:ascii="Garamond" w:hAnsi="Garamond"/>
              <w:noProof/>
            </w:rPr>
          </w:pPr>
          <w:hyperlink w:anchor="_Toc201569008" w:history="1">
            <w:r w:rsidRPr="005871E7">
              <w:rPr>
                <w:rStyle w:val="Hyperlink"/>
                <w:rFonts w:ascii="Garamond" w:hAnsi="Garamond"/>
                <w:noProof/>
              </w:rPr>
              <w:t>Coverage of Key Child Health Interventions Across LGAs</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_Toc201569008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5ADC7DDE" w14:textId="77777777" w:rsidR="005871E7" w:rsidRPr="005871E7" w:rsidRDefault="005871E7" w:rsidP="005871E7">
          <w:pPr>
            <w:pStyle w:val="TOC2"/>
            <w:tabs>
              <w:tab w:val="right" w:leader="dot" w:pos="9350"/>
            </w:tabs>
            <w:spacing w:line="360" w:lineRule="auto"/>
            <w:jc w:val="both"/>
            <w:rPr>
              <w:rFonts w:ascii="Garamond" w:hAnsi="Garamond"/>
              <w:noProof/>
            </w:rPr>
          </w:pPr>
          <w:hyperlink w:anchor="_Toc201569009" w:history="1">
            <w:r w:rsidRPr="005871E7">
              <w:rPr>
                <w:rStyle w:val="Hyperlink"/>
                <w:rFonts w:ascii="Garamond" w:hAnsi="Garamond"/>
                <w:noProof/>
              </w:rPr>
              <w:t>Statistical Test for Difference in Coverage Across LGAs</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_Toc201569009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57D59E0A" w14:textId="77777777" w:rsidR="005871E7" w:rsidRPr="005871E7" w:rsidRDefault="005871E7" w:rsidP="005871E7">
          <w:pPr>
            <w:pStyle w:val="TOC2"/>
            <w:tabs>
              <w:tab w:val="right" w:leader="dot" w:pos="9350"/>
            </w:tabs>
            <w:spacing w:line="360" w:lineRule="auto"/>
            <w:jc w:val="both"/>
            <w:rPr>
              <w:rFonts w:ascii="Garamond" w:hAnsi="Garamond"/>
              <w:noProof/>
            </w:rPr>
          </w:pPr>
          <w:hyperlink w:anchor="_Toc201569010" w:history="1">
            <w:r w:rsidRPr="005871E7">
              <w:rPr>
                <w:rStyle w:val="Hyperlink"/>
                <w:rFonts w:ascii="Garamond" w:hAnsi="Garamond"/>
                <w:noProof/>
              </w:rPr>
              <w:t>Wealth Index Analysis</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_Toc201569010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391CD128" w14:textId="77777777" w:rsidR="005871E7" w:rsidRPr="005871E7" w:rsidRDefault="005871E7" w:rsidP="005871E7">
          <w:pPr>
            <w:pStyle w:val="TOC2"/>
            <w:tabs>
              <w:tab w:val="right" w:leader="dot" w:pos="9350"/>
            </w:tabs>
            <w:spacing w:line="360" w:lineRule="auto"/>
            <w:jc w:val="both"/>
            <w:rPr>
              <w:rFonts w:ascii="Garamond" w:hAnsi="Garamond"/>
              <w:noProof/>
            </w:rPr>
          </w:pPr>
          <w:hyperlink w:anchor="_Toc201569011" w:history="1">
            <w:r w:rsidRPr="005871E7">
              <w:rPr>
                <w:rStyle w:val="Hyperlink"/>
                <w:rFonts w:ascii="Garamond" w:hAnsi="Garamond"/>
                <w:noProof/>
              </w:rPr>
              <w:t>Statistical Test of Differences in Coverage by Education Level</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_Toc201569011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2190B81C" w14:textId="77777777" w:rsidR="005871E7" w:rsidRPr="005871E7" w:rsidRDefault="005871E7" w:rsidP="005871E7">
          <w:pPr>
            <w:pStyle w:val="TOC2"/>
            <w:tabs>
              <w:tab w:val="right" w:leader="dot" w:pos="9350"/>
            </w:tabs>
            <w:spacing w:line="360" w:lineRule="auto"/>
            <w:jc w:val="both"/>
            <w:rPr>
              <w:rFonts w:ascii="Garamond" w:hAnsi="Garamond"/>
              <w:noProof/>
            </w:rPr>
          </w:pPr>
          <w:hyperlink w:anchor="_Toc201569012" w:history="1">
            <w:r w:rsidRPr="005871E7">
              <w:rPr>
                <w:rStyle w:val="Hyperlink"/>
                <w:rFonts w:ascii="Garamond" w:hAnsi="Garamond"/>
                <w:noProof/>
              </w:rPr>
              <w:t>Awareness of MNCHW/SMC/VAS (source and purpose)</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_Toc201569012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47F3D613" w14:textId="77777777" w:rsidR="005871E7" w:rsidRPr="005871E7" w:rsidRDefault="005871E7" w:rsidP="005871E7">
          <w:pPr>
            <w:pStyle w:val="TOC2"/>
            <w:tabs>
              <w:tab w:val="right" w:leader="dot" w:pos="9350"/>
            </w:tabs>
            <w:spacing w:line="360" w:lineRule="auto"/>
            <w:jc w:val="both"/>
            <w:rPr>
              <w:rFonts w:ascii="Garamond" w:hAnsi="Garamond"/>
              <w:noProof/>
            </w:rPr>
          </w:pPr>
          <w:hyperlink w:anchor="_Toc201569013" w:history="1">
            <w:r w:rsidRPr="005871E7">
              <w:rPr>
                <w:rStyle w:val="Hyperlink"/>
                <w:rFonts w:ascii="Garamond" w:hAnsi="Garamond"/>
                <w:noProof/>
              </w:rPr>
              <w:t>VAS Coverage Among Children Aged 6–59 Months</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_Toc201569013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706870D0" w14:textId="77777777" w:rsidR="005871E7" w:rsidRPr="005871E7" w:rsidRDefault="005871E7" w:rsidP="005871E7">
          <w:pPr>
            <w:pStyle w:val="TOC2"/>
            <w:tabs>
              <w:tab w:val="right" w:leader="dot" w:pos="9350"/>
            </w:tabs>
            <w:spacing w:line="360" w:lineRule="auto"/>
            <w:jc w:val="both"/>
            <w:rPr>
              <w:rFonts w:ascii="Garamond" w:hAnsi="Garamond"/>
              <w:noProof/>
            </w:rPr>
          </w:pPr>
          <w:hyperlink w:anchor="_Toc201569014" w:history="1">
            <w:r w:rsidRPr="005871E7">
              <w:rPr>
                <w:rStyle w:val="Hyperlink"/>
                <w:rFonts w:ascii="Garamond" w:hAnsi="Garamond"/>
                <w:noProof/>
              </w:rPr>
              <w:t>Women of Childbearing Age (15–49 years) Indicator analysis</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_Toc201569014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71BCDA90" w14:textId="77777777" w:rsidR="005871E7" w:rsidRPr="005871E7" w:rsidRDefault="005871E7" w:rsidP="005871E7">
          <w:pPr>
            <w:pStyle w:val="TOC1"/>
            <w:tabs>
              <w:tab w:val="right" w:leader="dot" w:pos="9350"/>
            </w:tabs>
            <w:spacing w:line="360" w:lineRule="auto"/>
            <w:jc w:val="both"/>
            <w:rPr>
              <w:rFonts w:ascii="Garamond" w:hAnsi="Garamond"/>
              <w:noProof/>
            </w:rPr>
          </w:pPr>
          <w:hyperlink w:anchor="_Toc201569015" w:history="1">
            <w:r w:rsidRPr="005871E7">
              <w:rPr>
                <w:rStyle w:val="Hyperlink"/>
                <w:rFonts w:ascii="Garamond" w:hAnsi="Garamond"/>
                <w:noProof/>
              </w:rPr>
              <w:t>Section 2: Primary Indicators by Research Objective</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_Toc201569015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7519C204" w14:textId="77777777" w:rsidR="005871E7" w:rsidRPr="005871E7" w:rsidRDefault="005871E7" w:rsidP="005871E7">
          <w:pPr>
            <w:pStyle w:val="TOC2"/>
            <w:tabs>
              <w:tab w:val="right" w:leader="dot" w:pos="9350"/>
            </w:tabs>
            <w:spacing w:line="360" w:lineRule="auto"/>
            <w:jc w:val="both"/>
            <w:rPr>
              <w:rFonts w:ascii="Garamond" w:hAnsi="Garamond"/>
              <w:noProof/>
            </w:rPr>
          </w:pPr>
          <w:hyperlink w:anchor="_Toc201569016" w:history="1">
            <w:r w:rsidRPr="005871E7">
              <w:rPr>
                <w:rStyle w:val="Hyperlink"/>
                <w:rFonts w:ascii="Garamond" w:hAnsi="Garamond"/>
                <w:noProof/>
              </w:rPr>
              <w:t>Objective 1: Effect of Integrating VAS with SMC on Uptake of MNCHW Interventions</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_Toc201569016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78350F75" w14:textId="77777777" w:rsidR="005871E7" w:rsidRPr="005871E7" w:rsidRDefault="005871E7" w:rsidP="005871E7">
          <w:pPr>
            <w:pStyle w:val="TOC1"/>
            <w:tabs>
              <w:tab w:val="right" w:leader="dot" w:pos="9350"/>
            </w:tabs>
            <w:spacing w:line="360" w:lineRule="auto"/>
            <w:jc w:val="both"/>
            <w:rPr>
              <w:rFonts w:ascii="Garamond" w:hAnsi="Garamond"/>
              <w:noProof/>
            </w:rPr>
          </w:pPr>
          <w:hyperlink w:anchor="_Toc201569017" w:history="1">
            <w:r w:rsidRPr="005871E7">
              <w:rPr>
                <w:rStyle w:val="Hyperlink"/>
                <w:rFonts w:ascii="Garamond" w:hAnsi="Garamond"/>
                <w:noProof/>
              </w:rPr>
              <w:t>Objective 2: Perceptions of the Effect of Removing VAS from MNCHW on Demand and Uptake</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_Toc201569017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269EED06" w14:textId="77777777" w:rsidR="005871E7" w:rsidRPr="005871E7" w:rsidRDefault="005871E7" w:rsidP="005871E7">
          <w:pPr>
            <w:pStyle w:val="TOC2"/>
            <w:tabs>
              <w:tab w:val="right" w:leader="dot" w:pos="9350"/>
            </w:tabs>
            <w:spacing w:line="360" w:lineRule="auto"/>
            <w:jc w:val="both"/>
            <w:rPr>
              <w:rFonts w:ascii="Garamond" w:hAnsi="Garamond"/>
              <w:noProof/>
            </w:rPr>
          </w:pPr>
          <w:hyperlink w:anchor="_Toc201569018" w:history="1">
            <w:r w:rsidRPr="005871E7">
              <w:rPr>
                <w:rStyle w:val="Hyperlink"/>
                <w:rFonts w:ascii="Garamond" w:hAnsi="Garamond"/>
                <w:noProof/>
              </w:rPr>
              <w:t>2.1 Caregiver Knowledge and Perceptions</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_Toc201569018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39F7B9D9" w14:textId="77777777" w:rsidR="005871E7" w:rsidRPr="005871E7" w:rsidRDefault="005871E7" w:rsidP="005871E7">
          <w:pPr>
            <w:pStyle w:val="TOC1"/>
            <w:tabs>
              <w:tab w:val="right" w:leader="dot" w:pos="9350"/>
            </w:tabs>
            <w:spacing w:line="360" w:lineRule="auto"/>
            <w:jc w:val="both"/>
            <w:rPr>
              <w:rFonts w:ascii="Garamond" w:hAnsi="Garamond"/>
              <w:noProof/>
            </w:rPr>
          </w:pPr>
          <w:hyperlink w:anchor="_Toc201569019" w:history="1">
            <w:r w:rsidRPr="005871E7">
              <w:rPr>
                <w:rStyle w:val="Hyperlink"/>
                <w:rFonts w:ascii="Garamond" w:hAnsi="Garamond"/>
                <w:noProof/>
              </w:rPr>
              <w:t>Objective 3: Coverage of Vitamin A Supplementation Following Integration with SMC</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_Toc201569019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6FA19C49" w14:textId="77777777" w:rsidR="005871E7" w:rsidRPr="005871E7" w:rsidRDefault="005871E7" w:rsidP="005871E7">
          <w:pPr>
            <w:pStyle w:val="TOC2"/>
            <w:tabs>
              <w:tab w:val="right" w:leader="dot" w:pos="9350"/>
            </w:tabs>
            <w:spacing w:line="360" w:lineRule="auto"/>
            <w:jc w:val="both"/>
            <w:rPr>
              <w:rFonts w:ascii="Garamond" w:hAnsi="Garamond"/>
              <w:noProof/>
            </w:rPr>
          </w:pPr>
          <w:hyperlink w:anchor="_Toc201569020" w:history="1">
            <w:r w:rsidRPr="005871E7">
              <w:rPr>
                <w:rStyle w:val="Hyperlink"/>
                <w:rFonts w:ascii="Garamond" w:hAnsi="Garamond"/>
                <w:noProof/>
              </w:rPr>
              <w:t>3.1 Overall VAS Coverage in the Last 6 Months</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_Toc201569020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25F59049" w14:textId="77777777" w:rsidR="005871E7" w:rsidRPr="005871E7" w:rsidRDefault="005871E7" w:rsidP="005871E7">
          <w:pPr>
            <w:pStyle w:val="TOC2"/>
            <w:tabs>
              <w:tab w:val="right" w:leader="dot" w:pos="9350"/>
            </w:tabs>
            <w:spacing w:line="360" w:lineRule="auto"/>
            <w:jc w:val="both"/>
            <w:rPr>
              <w:rFonts w:ascii="Garamond" w:hAnsi="Garamond"/>
              <w:noProof/>
            </w:rPr>
          </w:pPr>
          <w:hyperlink w:anchor="_Toc201569021" w:history="1">
            <w:r w:rsidRPr="005871E7">
              <w:rPr>
                <w:rStyle w:val="Hyperlink"/>
                <w:rFonts w:ascii="Garamond" w:hAnsi="Garamond"/>
                <w:noProof/>
              </w:rPr>
              <w:t>3.4 Main Source of VAS</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_Toc201569021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58AD0C6C" w14:textId="77777777" w:rsidR="005871E7" w:rsidRPr="005871E7" w:rsidRDefault="005871E7" w:rsidP="005871E7">
          <w:pPr>
            <w:pStyle w:val="TOC2"/>
            <w:tabs>
              <w:tab w:val="right" w:leader="dot" w:pos="9350"/>
            </w:tabs>
            <w:spacing w:line="360" w:lineRule="auto"/>
            <w:jc w:val="both"/>
            <w:rPr>
              <w:rFonts w:ascii="Garamond" w:hAnsi="Garamond"/>
              <w:noProof/>
            </w:rPr>
          </w:pPr>
          <w:hyperlink w:anchor="_Toc201569022" w:history="1">
            <w:r w:rsidRPr="005871E7">
              <w:rPr>
                <w:rStyle w:val="Hyperlink"/>
                <w:rFonts w:ascii="Garamond" w:hAnsi="Garamond"/>
                <w:noProof/>
              </w:rPr>
              <w:t>3.5 Number of VAS Doses Received in the Last 6 Months</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_Toc201569022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01C26527" w14:textId="77777777" w:rsidR="005871E7" w:rsidRPr="005871E7" w:rsidRDefault="005871E7" w:rsidP="005871E7">
          <w:pPr>
            <w:pStyle w:val="TOC1"/>
            <w:tabs>
              <w:tab w:val="right" w:leader="dot" w:pos="9350"/>
            </w:tabs>
            <w:spacing w:line="360" w:lineRule="auto"/>
            <w:jc w:val="both"/>
            <w:rPr>
              <w:rFonts w:ascii="Garamond" w:hAnsi="Garamond"/>
              <w:noProof/>
            </w:rPr>
          </w:pPr>
          <w:hyperlink w:anchor="_Toc201569023" w:history="1">
            <w:r w:rsidRPr="005871E7">
              <w:rPr>
                <w:rStyle w:val="Hyperlink"/>
                <w:rFonts w:ascii="Garamond" w:hAnsi="Garamond"/>
                <w:noProof/>
              </w:rPr>
              <w:t>Objective 4: To Monitor the Coverage and Quality of SMC Following Integration with VAS</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_Toc201569023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19AF3B73" w14:textId="77777777" w:rsidR="005871E7" w:rsidRPr="005871E7" w:rsidRDefault="005871E7" w:rsidP="005871E7">
          <w:pPr>
            <w:pStyle w:val="TOC2"/>
            <w:tabs>
              <w:tab w:val="right" w:leader="dot" w:pos="9350"/>
            </w:tabs>
            <w:spacing w:line="360" w:lineRule="auto"/>
            <w:jc w:val="both"/>
            <w:rPr>
              <w:rFonts w:ascii="Garamond" w:hAnsi="Garamond"/>
              <w:noProof/>
            </w:rPr>
          </w:pPr>
          <w:hyperlink w:anchor="_Toc201569024" w:history="1">
            <w:r w:rsidRPr="005871E7">
              <w:rPr>
                <w:rStyle w:val="Hyperlink"/>
                <w:rFonts w:ascii="Garamond" w:hAnsi="Garamond"/>
                <w:noProof/>
              </w:rPr>
              <w:t>A. SMC Coverage Indicators</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_Toc201569024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728859AF" w14:textId="77777777" w:rsidR="005871E7" w:rsidRPr="005871E7" w:rsidRDefault="005871E7" w:rsidP="005871E7">
          <w:pPr>
            <w:pStyle w:val="TOC2"/>
            <w:tabs>
              <w:tab w:val="right" w:leader="dot" w:pos="9350"/>
            </w:tabs>
            <w:spacing w:line="360" w:lineRule="auto"/>
            <w:jc w:val="both"/>
            <w:rPr>
              <w:rFonts w:ascii="Garamond" w:hAnsi="Garamond"/>
              <w:noProof/>
            </w:rPr>
          </w:pPr>
          <w:hyperlink w:anchor="_Toc201569025" w:history="1">
            <w:r w:rsidRPr="005871E7">
              <w:rPr>
                <w:rStyle w:val="Hyperlink"/>
                <w:rFonts w:ascii="Garamond" w:hAnsi="Garamond"/>
                <w:noProof/>
              </w:rPr>
              <w:t>SMC Quality Indicators</w:t>
            </w:r>
            <w:r w:rsidRPr="005871E7">
              <w:rPr>
                <w:rFonts w:ascii="Garamond" w:hAnsi="Garamond"/>
                <w:noProof/>
                <w:webHidden/>
              </w:rPr>
              <w:tab/>
            </w:r>
            <w:r w:rsidRPr="005871E7">
              <w:rPr>
                <w:rFonts w:ascii="Garamond" w:hAnsi="Garamond"/>
                <w:noProof/>
                <w:webHidden/>
              </w:rPr>
              <w:fldChar w:fldCharType="begin"/>
            </w:r>
            <w:r w:rsidRPr="005871E7">
              <w:rPr>
                <w:rFonts w:ascii="Garamond" w:hAnsi="Garamond"/>
                <w:noProof/>
                <w:webHidden/>
              </w:rPr>
              <w:instrText xml:space="preserve"> PAGEREF _Toc201569025 \h </w:instrText>
            </w:r>
            <w:r w:rsidRPr="005871E7">
              <w:rPr>
                <w:rFonts w:ascii="Garamond" w:hAnsi="Garamond"/>
                <w:noProof/>
                <w:webHidden/>
              </w:rPr>
            </w:r>
            <w:r w:rsidRPr="005871E7">
              <w:rPr>
                <w:rFonts w:ascii="Garamond" w:hAnsi="Garamond"/>
                <w:noProof/>
                <w:webHidden/>
              </w:rPr>
              <w:fldChar w:fldCharType="separate"/>
            </w:r>
            <w:r w:rsidRPr="005871E7">
              <w:rPr>
                <w:rFonts w:ascii="Garamond" w:hAnsi="Garamond"/>
                <w:noProof/>
                <w:webHidden/>
              </w:rPr>
              <w:t>1</w:t>
            </w:r>
            <w:r w:rsidRPr="005871E7">
              <w:rPr>
                <w:rFonts w:ascii="Garamond" w:hAnsi="Garamond"/>
                <w:noProof/>
                <w:webHidden/>
              </w:rPr>
              <w:fldChar w:fldCharType="end"/>
            </w:r>
          </w:hyperlink>
        </w:p>
        <w:p w14:paraId="73E5742D" w14:textId="77777777" w:rsidR="00AC4E03" w:rsidRPr="005871E7" w:rsidRDefault="00000000" w:rsidP="005871E7">
          <w:pPr>
            <w:spacing w:line="360" w:lineRule="auto"/>
            <w:jc w:val="both"/>
            <w:rPr>
              <w:rFonts w:ascii="Garamond" w:hAnsi="Garamond"/>
            </w:rPr>
          </w:pPr>
          <w:r w:rsidRPr="005871E7">
            <w:rPr>
              <w:rFonts w:ascii="Garamond" w:hAnsi="Garamond"/>
            </w:rPr>
            <w:fldChar w:fldCharType="end"/>
          </w:r>
        </w:p>
      </w:sdtContent>
    </w:sdt>
    <w:p w14:paraId="4929C2E3" w14:textId="77777777" w:rsidR="005871E7" w:rsidRPr="005871E7" w:rsidRDefault="005871E7" w:rsidP="005871E7">
      <w:bookmarkStart w:id="0" w:name="introduction"/>
      <w:bookmarkStart w:id="1" w:name="_Toc201568990"/>
    </w:p>
    <w:p w14:paraId="74B1B305" w14:textId="77777777" w:rsidR="005871E7" w:rsidRPr="005871E7" w:rsidRDefault="005871E7" w:rsidP="005871E7"/>
    <w:p w14:paraId="584CD026" w14:textId="77777777" w:rsidR="005871E7" w:rsidRPr="005871E7" w:rsidRDefault="005871E7" w:rsidP="005871E7"/>
    <w:p w14:paraId="4EB05DC2" w14:textId="77777777" w:rsidR="005871E7" w:rsidRPr="005871E7" w:rsidRDefault="005871E7" w:rsidP="005871E7"/>
    <w:p w14:paraId="1197C072" w14:textId="77777777" w:rsidR="005871E7" w:rsidRPr="005871E7" w:rsidRDefault="005871E7" w:rsidP="005871E7"/>
    <w:p w14:paraId="7CEEFDF5" w14:textId="77777777" w:rsidR="005871E7" w:rsidRPr="005871E7" w:rsidRDefault="005871E7" w:rsidP="005871E7"/>
    <w:p w14:paraId="2899648E" w14:textId="77777777" w:rsidR="005871E7" w:rsidRPr="005871E7" w:rsidRDefault="005871E7" w:rsidP="005871E7"/>
    <w:p w14:paraId="3F934BF7" w14:textId="77777777" w:rsidR="005871E7" w:rsidRPr="005871E7" w:rsidRDefault="005871E7" w:rsidP="005871E7"/>
    <w:p w14:paraId="7EFC36C3" w14:textId="77777777" w:rsidR="005871E7" w:rsidRDefault="005871E7" w:rsidP="005871E7">
      <w:pPr>
        <w:pStyle w:val="Heading1"/>
        <w:spacing w:line="360" w:lineRule="auto"/>
        <w:jc w:val="both"/>
        <w:rPr>
          <w:rFonts w:ascii="Garamond" w:hAnsi="Garamond"/>
        </w:rPr>
      </w:pPr>
    </w:p>
    <w:p w14:paraId="14DF5568" w14:textId="77777777" w:rsidR="00B741C6" w:rsidRPr="00B741C6" w:rsidRDefault="00B741C6" w:rsidP="00B741C6">
      <w:pPr>
        <w:pStyle w:val="BodyText"/>
      </w:pPr>
    </w:p>
    <w:p w14:paraId="44A6C7E0" w14:textId="10D60EA3" w:rsidR="00AC4E03" w:rsidRDefault="00000000" w:rsidP="005871E7">
      <w:pPr>
        <w:pStyle w:val="Heading1"/>
        <w:spacing w:line="360" w:lineRule="auto"/>
        <w:jc w:val="both"/>
        <w:rPr>
          <w:rFonts w:ascii="Garamond" w:hAnsi="Garamond"/>
        </w:rPr>
      </w:pPr>
      <w:r w:rsidRPr="005871E7">
        <w:rPr>
          <w:rFonts w:ascii="Garamond" w:hAnsi="Garamond"/>
        </w:rPr>
        <w:lastRenderedPageBreak/>
        <w:t>Introduction</w:t>
      </w:r>
      <w:bookmarkEnd w:id="1"/>
    </w:p>
    <w:p w14:paraId="57397B1B" w14:textId="77777777" w:rsidR="00B741C6" w:rsidRPr="00B741C6" w:rsidRDefault="00B741C6" w:rsidP="00B741C6">
      <w:pPr>
        <w:pStyle w:val="BodyText"/>
        <w:spacing w:line="360" w:lineRule="auto"/>
        <w:jc w:val="both"/>
        <w:rPr>
          <w:rFonts w:ascii="Garamond" w:hAnsi="Garamond"/>
          <w:b/>
          <w:bCs/>
          <w:lang w:val="en-GB"/>
        </w:rPr>
      </w:pPr>
      <w:r w:rsidRPr="00B741C6">
        <w:rPr>
          <w:rFonts w:ascii="Garamond" w:hAnsi="Garamond"/>
          <w:b/>
          <w:bCs/>
          <w:lang w:val="en-GB"/>
        </w:rPr>
        <w:t>1.1 Background on Malaria Consortium and Context</w:t>
      </w:r>
    </w:p>
    <w:p w14:paraId="5334AA4D" w14:textId="5750D785"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 xml:space="preserve">Malaria Consortium is a leading international non-profit organization dedicated to the prevention, control, and treatment of malaria and other communicable diseases, particularly in Africa and Asia. Operating in Nigeria since 2008, the organization has supported the Federal Ministry of Health (FMOH) and sub-national governments in delivering high-impact </w:t>
      </w:r>
      <w:r>
        <w:rPr>
          <w:rFonts w:ascii="Garamond" w:hAnsi="Garamond"/>
          <w:lang w:val="en-GB"/>
        </w:rPr>
        <w:t>interventions to improve child survival</w:t>
      </w:r>
      <w:r w:rsidRPr="00B741C6">
        <w:rPr>
          <w:rFonts w:ascii="Garamond" w:hAnsi="Garamond"/>
          <w:lang w:val="en-GB"/>
        </w:rPr>
        <w:t>. These include Seasonal Malaria Chemoprevention (SMC) and Vitamin A Supplementation (VAS)—both endorsed by the World Health Organization (WHO) as evidence-based strategies to reduce under-five morbidity and mortality in malaria-endemic settings.</w:t>
      </w:r>
    </w:p>
    <w:p w14:paraId="2676309A" w14:textId="77777777"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 xml:space="preserve">In the Sahelian zone of northern Nigeria, SMC is delivered using </w:t>
      </w:r>
      <w:proofErr w:type="spellStart"/>
      <w:r w:rsidRPr="00B741C6">
        <w:rPr>
          <w:rFonts w:ascii="Garamond" w:hAnsi="Garamond"/>
          <w:lang w:val="en-GB"/>
        </w:rPr>
        <w:t>sulfadoxine</w:t>
      </w:r>
      <w:proofErr w:type="spellEnd"/>
      <w:r w:rsidRPr="00B741C6">
        <w:rPr>
          <w:rFonts w:ascii="Garamond" w:hAnsi="Garamond"/>
          <w:lang w:val="en-GB"/>
        </w:rPr>
        <w:t>-pyrimethamine plus amodiaquine (SPAQ) for children aged 3–59 months during the rainy season. Since its introduction, SMC has consistently achieved high administrative and survey-based coverage (&gt;90%) due to its house-to-house delivery model and community-based workforce. Conversely, VAS, which is critical for child immune function and survival, is largely delivered through biannual Maternal, Newborn and Child Health Week (MNCHW) campaigns targeting children aged 6–59 months. However, these campaigns often suffer from inconsistent funding, limited geographic reach, and inadequate community engagement—resulting in persistently low coverage.</w:t>
      </w:r>
    </w:p>
    <w:p w14:paraId="1F335B9D" w14:textId="77777777" w:rsidR="00B741C6" w:rsidRPr="00B741C6" w:rsidRDefault="00B741C6" w:rsidP="00B741C6">
      <w:pPr>
        <w:pStyle w:val="BodyText"/>
        <w:spacing w:line="360" w:lineRule="auto"/>
        <w:jc w:val="both"/>
        <w:rPr>
          <w:rFonts w:ascii="Garamond" w:hAnsi="Garamond"/>
          <w:b/>
          <w:bCs/>
          <w:lang w:val="en-GB"/>
        </w:rPr>
      </w:pPr>
      <w:r w:rsidRPr="00B741C6">
        <w:rPr>
          <w:rFonts w:ascii="Garamond" w:hAnsi="Garamond"/>
          <w:b/>
          <w:bCs/>
          <w:lang w:val="en-GB"/>
        </w:rPr>
        <w:t>1.2 National Guidelines and Coverage Gaps</w:t>
      </w:r>
    </w:p>
    <w:p w14:paraId="104E5D72" w14:textId="0440E3C1"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The Nigerian national guidelines recommend that children aged 6–59 months receive two high-dose VAS capsules (100,000 IU for 6–11 months and 200,000 IU for 12–59 months) annually. Despite this recommendation, Vitamin A coverage remains suboptimal across the country. The 2018 Nigeria Demographic and Health Survey (NDHS) estimated national VAS coverage at 45%, far below the target coverage of 80% required to confer public health impact. This coverage disparity is further accentuated in remote and underserved areas, where routine outreach systems</w:t>
      </w:r>
      <w:r>
        <w:rPr>
          <w:rFonts w:ascii="Garamond" w:hAnsi="Garamond"/>
          <w:lang w:val="en-GB"/>
        </w:rPr>
        <w:t>, such as MNCHW,</w:t>
      </w:r>
      <w:r w:rsidRPr="00B741C6">
        <w:rPr>
          <w:rFonts w:ascii="Garamond" w:hAnsi="Garamond"/>
          <w:lang w:val="en-GB"/>
        </w:rPr>
        <w:t xml:space="preserve"> often fail to reach the last mile.</w:t>
      </w:r>
    </w:p>
    <w:p w14:paraId="296395DD" w14:textId="45DD4FA6"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By contrast, the SMC programme has demonstrated operational efficiency, scale, and community trust</w:t>
      </w:r>
      <w:r>
        <w:rPr>
          <w:rFonts w:ascii="Garamond" w:hAnsi="Garamond"/>
          <w:lang w:val="en-GB"/>
        </w:rPr>
        <w:t xml:space="preserve">, </w:t>
      </w:r>
      <w:r w:rsidRPr="00B741C6">
        <w:rPr>
          <w:rFonts w:ascii="Garamond" w:hAnsi="Garamond"/>
          <w:lang w:val="en-GB"/>
        </w:rPr>
        <w:t xml:space="preserve">delivering chemoprevention to more than 24 million children across 18 northern states annually. Recognizing this disparity, there is growing momentum among policymakers and program </w:t>
      </w:r>
      <w:r w:rsidRPr="00B741C6">
        <w:rPr>
          <w:rFonts w:ascii="Garamond" w:hAnsi="Garamond"/>
          <w:lang w:val="en-GB"/>
        </w:rPr>
        <w:lastRenderedPageBreak/>
        <w:t>implementers to explore integrated delivery platforms that can expand the reach of essential child survival interventions, including VAS.</w:t>
      </w:r>
    </w:p>
    <w:p w14:paraId="6C7902A5" w14:textId="77777777" w:rsidR="00B741C6" w:rsidRPr="00B741C6" w:rsidRDefault="00B741C6" w:rsidP="00B741C6">
      <w:pPr>
        <w:pStyle w:val="BodyText"/>
        <w:spacing w:line="360" w:lineRule="auto"/>
        <w:jc w:val="both"/>
        <w:rPr>
          <w:rFonts w:ascii="Garamond" w:hAnsi="Garamond"/>
          <w:b/>
          <w:bCs/>
          <w:lang w:val="en-GB"/>
        </w:rPr>
      </w:pPr>
      <w:r w:rsidRPr="00B741C6">
        <w:rPr>
          <w:rFonts w:ascii="Garamond" w:hAnsi="Garamond"/>
          <w:b/>
          <w:bCs/>
          <w:lang w:val="en-GB"/>
        </w:rPr>
        <w:t>1.3 Rationale for Integrating VAS into SMC</w:t>
      </w:r>
    </w:p>
    <w:p w14:paraId="79675917" w14:textId="0EC9B2C8"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The integration of VAS into SMC delivery represents a strategic opportunity to leverage the extensive reach, logistical structure, and trained personnel of the SMC programme to improve VAS uptake. Lessons from prior pilot studies in Sokoto (2021) and Bauchi (2022) demonstrated the feasibility and acceptability of bundling VAS with SMC using a door-to-door approach. These pilots highlighted not only high community receptivity but also the potential to reduce operational duplication, streamline commodity distribution, and maximize contact with eligible children</w:t>
      </w:r>
      <w:r>
        <w:rPr>
          <w:rFonts w:ascii="Garamond" w:hAnsi="Garamond"/>
          <w:lang w:val="en-GB"/>
        </w:rPr>
        <w:t xml:space="preserve">, </w:t>
      </w:r>
      <w:r w:rsidRPr="00B741C6">
        <w:rPr>
          <w:rFonts w:ascii="Garamond" w:hAnsi="Garamond"/>
          <w:lang w:val="en-GB"/>
        </w:rPr>
        <w:t>especially in rural areas with limited access to health facilities.</w:t>
      </w:r>
    </w:p>
    <w:p w14:paraId="0CD1CFF4" w14:textId="77777777"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The current integrated campaign seeks to build on these findings by delivering VAS during SMC cycles through trained community drug distributors (CDDs). Importantly, to avoid duplicate dosing and to allow clearer measurement of integration effects, VAS was intentionally excluded from the first round of MNCHW in 2025. This policy adjustment provides a unique opportunity to assess both the direct coverage of VAS through SMC and the indirect effects of VAS removal on the uptake of other MNCHW services.</w:t>
      </w:r>
    </w:p>
    <w:p w14:paraId="68237C36" w14:textId="77777777" w:rsidR="00B741C6" w:rsidRPr="00B741C6" w:rsidRDefault="00B741C6" w:rsidP="00B741C6">
      <w:pPr>
        <w:pStyle w:val="BodyText"/>
        <w:spacing w:line="360" w:lineRule="auto"/>
        <w:jc w:val="both"/>
        <w:rPr>
          <w:rFonts w:ascii="Garamond" w:hAnsi="Garamond"/>
          <w:b/>
          <w:bCs/>
          <w:lang w:val="en-GB"/>
        </w:rPr>
      </w:pPr>
      <w:r w:rsidRPr="00B741C6">
        <w:rPr>
          <w:rFonts w:ascii="Garamond" w:hAnsi="Garamond"/>
          <w:b/>
          <w:bCs/>
          <w:lang w:val="en-GB"/>
        </w:rPr>
        <w:t>1.4 Description of the Integrated Campaign Strategy</w:t>
      </w:r>
    </w:p>
    <w:p w14:paraId="346102C7" w14:textId="77777777"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 xml:space="preserve">In collaboration with the Bauchi State Primary Health Care Development Agency (BSPHCDA) and with funding from </w:t>
      </w:r>
      <w:proofErr w:type="spellStart"/>
      <w:r w:rsidRPr="00B741C6">
        <w:rPr>
          <w:rFonts w:ascii="Garamond" w:hAnsi="Garamond"/>
          <w:lang w:val="en-GB"/>
        </w:rPr>
        <w:t>GiveWell</w:t>
      </w:r>
      <w:proofErr w:type="spellEnd"/>
      <w:r w:rsidRPr="00B741C6">
        <w:rPr>
          <w:rFonts w:ascii="Garamond" w:hAnsi="Garamond"/>
          <w:lang w:val="en-GB"/>
        </w:rPr>
        <w:t>, Malaria Consortium launched a state-wide integrated SMC+VAS campaign in 2025. The approach involves:</w:t>
      </w:r>
    </w:p>
    <w:p w14:paraId="08B459FF" w14:textId="77777777" w:rsidR="00B741C6" w:rsidRPr="00B741C6" w:rsidRDefault="00B741C6" w:rsidP="00B741C6">
      <w:pPr>
        <w:pStyle w:val="BodyText"/>
        <w:numPr>
          <w:ilvl w:val="0"/>
          <w:numId w:val="10"/>
        </w:numPr>
        <w:spacing w:line="276" w:lineRule="auto"/>
        <w:jc w:val="both"/>
        <w:rPr>
          <w:rFonts w:ascii="Garamond" w:hAnsi="Garamond"/>
          <w:lang w:val="en-GB"/>
        </w:rPr>
      </w:pPr>
      <w:r w:rsidRPr="00B741C6">
        <w:rPr>
          <w:rFonts w:ascii="Garamond" w:hAnsi="Garamond"/>
          <w:lang w:val="en-GB"/>
        </w:rPr>
        <w:t>Co-packaging and co-distribution of SPAQ and vitamin A capsules</w:t>
      </w:r>
    </w:p>
    <w:p w14:paraId="09ED4CFA" w14:textId="77777777" w:rsidR="00B741C6" w:rsidRPr="00B741C6" w:rsidRDefault="00B741C6" w:rsidP="00B741C6">
      <w:pPr>
        <w:pStyle w:val="BodyText"/>
        <w:numPr>
          <w:ilvl w:val="0"/>
          <w:numId w:val="10"/>
        </w:numPr>
        <w:spacing w:line="276" w:lineRule="auto"/>
        <w:jc w:val="both"/>
        <w:rPr>
          <w:rFonts w:ascii="Garamond" w:hAnsi="Garamond"/>
          <w:lang w:val="en-GB"/>
        </w:rPr>
      </w:pPr>
      <w:r w:rsidRPr="00B741C6">
        <w:rPr>
          <w:rFonts w:ascii="Garamond" w:hAnsi="Garamond"/>
          <w:lang w:val="en-GB"/>
        </w:rPr>
        <w:t>Training of CDDs on safe administration, dosage protocols, and caregiver communication for both interventions</w:t>
      </w:r>
    </w:p>
    <w:p w14:paraId="6FAED547" w14:textId="77777777" w:rsidR="00B741C6" w:rsidRPr="00B741C6" w:rsidRDefault="00B741C6" w:rsidP="00B741C6">
      <w:pPr>
        <w:pStyle w:val="BodyText"/>
        <w:numPr>
          <w:ilvl w:val="0"/>
          <w:numId w:val="10"/>
        </w:numPr>
        <w:spacing w:line="276" w:lineRule="auto"/>
        <w:jc w:val="both"/>
        <w:rPr>
          <w:rFonts w:ascii="Garamond" w:hAnsi="Garamond"/>
          <w:lang w:val="en-GB"/>
        </w:rPr>
      </w:pPr>
      <w:r w:rsidRPr="00B741C6">
        <w:rPr>
          <w:rFonts w:ascii="Garamond" w:hAnsi="Garamond"/>
          <w:lang w:val="en-GB"/>
        </w:rPr>
        <w:t>House-to-house delivery across all LGAs during each SMC cycle</w:t>
      </w:r>
    </w:p>
    <w:p w14:paraId="2139096B" w14:textId="77777777" w:rsidR="00B741C6" w:rsidRPr="00B741C6" w:rsidRDefault="00B741C6" w:rsidP="00B741C6">
      <w:pPr>
        <w:pStyle w:val="BodyText"/>
        <w:numPr>
          <w:ilvl w:val="0"/>
          <w:numId w:val="10"/>
        </w:numPr>
        <w:spacing w:line="276" w:lineRule="auto"/>
        <w:jc w:val="both"/>
        <w:rPr>
          <w:rFonts w:ascii="Garamond" w:hAnsi="Garamond"/>
          <w:lang w:val="en-GB"/>
        </w:rPr>
      </w:pPr>
      <w:r w:rsidRPr="00B741C6">
        <w:rPr>
          <w:rFonts w:ascii="Garamond" w:hAnsi="Garamond"/>
          <w:lang w:val="en-GB"/>
        </w:rPr>
        <w:t xml:space="preserve">Exclusion of VAS from MNCHW during the first biannual round to avoid overlap and measure </w:t>
      </w:r>
      <w:proofErr w:type="spellStart"/>
      <w:r w:rsidRPr="00B741C6">
        <w:rPr>
          <w:rFonts w:ascii="Garamond" w:hAnsi="Garamond"/>
          <w:lang w:val="en-GB"/>
        </w:rPr>
        <w:t>behavioral</w:t>
      </w:r>
      <w:proofErr w:type="spellEnd"/>
      <w:r w:rsidRPr="00B741C6">
        <w:rPr>
          <w:rFonts w:ascii="Garamond" w:hAnsi="Garamond"/>
          <w:lang w:val="en-GB"/>
        </w:rPr>
        <w:t xml:space="preserve"> and service-level impacts</w:t>
      </w:r>
    </w:p>
    <w:p w14:paraId="242B14D5" w14:textId="77777777"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This baseline evaluation, conducted in April 2025 across all 20 LGAs of Bauchi State, is part of a broader mixed-methods effectiveness study. The survey targets two primary beneficiary groups:</w:t>
      </w:r>
    </w:p>
    <w:p w14:paraId="23CAE362" w14:textId="77777777" w:rsidR="00B741C6" w:rsidRPr="00B741C6" w:rsidRDefault="00B741C6" w:rsidP="00B741C6">
      <w:pPr>
        <w:pStyle w:val="BodyText"/>
        <w:numPr>
          <w:ilvl w:val="0"/>
          <w:numId w:val="9"/>
        </w:numPr>
        <w:spacing w:line="276" w:lineRule="auto"/>
        <w:jc w:val="both"/>
        <w:rPr>
          <w:rFonts w:ascii="Garamond" w:hAnsi="Garamond"/>
          <w:lang w:val="en-GB"/>
        </w:rPr>
      </w:pPr>
      <w:r w:rsidRPr="00B741C6">
        <w:rPr>
          <w:rFonts w:ascii="Garamond" w:hAnsi="Garamond"/>
          <w:lang w:val="en-GB"/>
        </w:rPr>
        <w:lastRenderedPageBreak/>
        <w:t>Children aged 6–59 months, to assess coverage of VAS, SMC, and related child health services</w:t>
      </w:r>
    </w:p>
    <w:p w14:paraId="3981DC53" w14:textId="77777777" w:rsidR="00B741C6" w:rsidRPr="00B741C6" w:rsidRDefault="00B741C6" w:rsidP="00B741C6">
      <w:pPr>
        <w:pStyle w:val="BodyText"/>
        <w:numPr>
          <w:ilvl w:val="0"/>
          <w:numId w:val="9"/>
        </w:numPr>
        <w:spacing w:line="276" w:lineRule="auto"/>
        <w:jc w:val="both"/>
        <w:rPr>
          <w:rFonts w:ascii="Garamond" w:hAnsi="Garamond"/>
          <w:lang w:val="en-GB"/>
        </w:rPr>
      </w:pPr>
      <w:r w:rsidRPr="00B741C6">
        <w:rPr>
          <w:rFonts w:ascii="Garamond" w:hAnsi="Garamond"/>
          <w:lang w:val="en-GB"/>
        </w:rPr>
        <w:t>Women of childbearing age (15–49 years), to evaluate maternal health service utilization and community awareness</w:t>
      </w:r>
    </w:p>
    <w:p w14:paraId="45EE3F0F" w14:textId="77777777" w:rsidR="00B741C6" w:rsidRDefault="00B741C6" w:rsidP="00B741C6">
      <w:pPr>
        <w:pStyle w:val="BodyText"/>
        <w:spacing w:line="360" w:lineRule="auto"/>
        <w:jc w:val="both"/>
        <w:rPr>
          <w:rFonts w:ascii="Garamond" w:hAnsi="Garamond"/>
          <w:lang w:val="en-GB"/>
        </w:rPr>
      </w:pPr>
      <w:r w:rsidRPr="00B741C6">
        <w:rPr>
          <w:rFonts w:ascii="Garamond" w:hAnsi="Garamond"/>
          <w:lang w:val="en-GB"/>
        </w:rPr>
        <w:t>The findings from this baseline will provide critical insights into the coverage, quality, feasibility, and equity implications of integrated VAS+SMC delivery, while informing national-level decisions on potential scale-up.</w:t>
      </w:r>
    </w:p>
    <w:p w14:paraId="6E9CF0FD" w14:textId="77777777" w:rsidR="00B741C6" w:rsidRPr="00B741C6" w:rsidRDefault="00B741C6" w:rsidP="00B741C6">
      <w:pPr>
        <w:pStyle w:val="BodyText"/>
        <w:spacing w:line="360" w:lineRule="auto"/>
        <w:jc w:val="both"/>
        <w:rPr>
          <w:rFonts w:ascii="Garamond" w:hAnsi="Garamond"/>
          <w:b/>
          <w:bCs/>
          <w:lang w:val="en-GB"/>
        </w:rPr>
      </w:pPr>
      <w:r w:rsidRPr="00B741C6">
        <w:rPr>
          <w:rFonts w:ascii="Garamond" w:hAnsi="Garamond"/>
          <w:b/>
          <w:bCs/>
          <w:lang w:val="en-GB"/>
        </w:rPr>
        <w:t>3. Study Objectives</w:t>
      </w:r>
    </w:p>
    <w:p w14:paraId="15D60F1A" w14:textId="77777777" w:rsidR="00B741C6" w:rsidRPr="00B741C6" w:rsidRDefault="00B741C6" w:rsidP="00B741C6">
      <w:pPr>
        <w:pStyle w:val="BodyText"/>
        <w:spacing w:line="360" w:lineRule="auto"/>
        <w:jc w:val="both"/>
        <w:rPr>
          <w:rFonts w:ascii="Garamond" w:hAnsi="Garamond"/>
          <w:b/>
          <w:bCs/>
          <w:lang w:val="en-GB"/>
        </w:rPr>
      </w:pPr>
      <w:r w:rsidRPr="00B741C6">
        <w:rPr>
          <w:rFonts w:ascii="Garamond" w:hAnsi="Garamond"/>
          <w:b/>
          <w:bCs/>
          <w:lang w:val="en-GB"/>
        </w:rPr>
        <w:t>3.1. Aim of the Study</w:t>
      </w:r>
    </w:p>
    <w:p w14:paraId="500E0F38" w14:textId="77777777"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The primary aim of this baseline evaluation is to generate robust empirical evidence on the effectiveness, operational feasibility, and community acceptability of integrating Vitamin A Supplementation (VAS) into Seasonal Malaria Chemoprevention (SMC) campaigns in Bauchi State, Nigeria. This integration seeks to leverage the established infrastructure, high reach, and logistical efficiencies of the SMC platform to enhance the uptake of VAS among children aged 6–59 months. By examining both the direct effects on service coverage and the broader implications for maternal and child health interventions, the study aspires to inform the strategic design, scale-up, and policy decisions regarding integrated delivery models for child survival programs.</w:t>
      </w:r>
    </w:p>
    <w:p w14:paraId="466AA8B7" w14:textId="77777777" w:rsidR="00B741C6" w:rsidRPr="00B741C6" w:rsidRDefault="00B741C6" w:rsidP="00B741C6">
      <w:pPr>
        <w:pStyle w:val="BodyText"/>
        <w:spacing w:line="360" w:lineRule="auto"/>
        <w:jc w:val="both"/>
        <w:rPr>
          <w:rFonts w:ascii="Garamond" w:hAnsi="Garamond"/>
          <w:b/>
          <w:bCs/>
          <w:lang w:val="en-GB"/>
        </w:rPr>
      </w:pPr>
      <w:r w:rsidRPr="00B741C6">
        <w:rPr>
          <w:rFonts w:ascii="Garamond" w:hAnsi="Garamond"/>
          <w:b/>
          <w:bCs/>
          <w:lang w:val="en-GB"/>
        </w:rPr>
        <w:t>3.2. Specific Objectives</w:t>
      </w:r>
    </w:p>
    <w:p w14:paraId="04D7585D" w14:textId="77777777"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The study is anchored on a set of interrelated objectives that span both effectiveness and operational domains, with an emphasis on coverage assessment, community perspectives, and health system dynamics.</w:t>
      </w:r>
    </w:p>
    <w:p w14:paraId="5465A021" w14:textId="77777777" w:rsidR="00B741C6" w:rsidRPr="00B741C6" w:rsidRDefault="00B741C6" w:rsidP="00726C48">
      <w:pPr>
        <w:pStyle w:val="BodyText"/>
        <w:numPr>
          <w:ilvl w:val="0"/>
          <w:numId w:val="11"/>
        </w:numPr>
        <w:spacing w:line="360" w:lineRule="auto"/>
        <w:jc w:val="both"/>
        <w:rPr>
          <w:rFonts w:ascii="Garamond" w:hAnsi="Garamond"/>
          <w:lang w:val="en-GB"/>
        </w:rPr>
      </w:pPr>
      <w:r w:rsidRPr="00B741C6">
        <w:rPr>
          <w:rFonts w:ascii="Garamond" w:hAnsi="Garamond"/>
          <w:lang w:val="en-GB"/>
        </w:rPr>
        <w:t>The primary objectives focus on determining the influence of integrating VAS into SMC on the uptake of key Maternal, Newborn, and Child Health Week (MNCHW) interventions; assessing perceptions among health workers and policymakers regarding the exclusion of VAS from MNCHW; establishing baseline VAS coverage prior to and following integration with SMC; and evaluating the coverage and quality of SMC delivery within the context of the integrated campaign.</w:t>
      </w:r>
    </w:p>
    <w:p w14:paraId="59BD029B" w14:textId="77777777" w:rsidR="00B741C6" w:rsidRPr="00B741C6" w:rsidRDefault="00B741C6" w:rsidP="00726C48">
      <w:pPr>
        <w:pStyle w:val="BodyText"/>
        <w:numPr>
          <w:ilvl w:val="0"/>
          <w:numId w:val="11"/>
        </w:numPr>
        <w:spacing w:line="360" w:lineRule="auto"/>
        <w:jc w:val="both"/>
        <w:rPr>
          <w:rFonts w:ascii="Garamond" w:hAnsi="Garamond"/>
          <w:lang w:val="en-GB"/>
        </w:rPr>
      </w:pPr>
      <w:r w:rsidRPr="00B741C6">
        <w:rPr>
          <w:rFonts w:ascii="Garamond" w:hAnsi="Garamond"/>
          <w:lang w:val="en-GB"/>
        </w:rPr>
        <w:t xml:space="preserve">Secondary objectives are concerned with unpacking the contextual and structural factors that shape the uptake of VAS and other MNCHW services. These include identifying barriers </w:t>
      </w:r>
      <w:r w:rsidRPr="00B741C6">
        <w:rPr>
          <w:rFonts w:ascii="Garamond" w:hAnsi="Garamond"/>
          <w:lang w:val="en-GB"/>
        </w:rPr>
        <w:lastRenderedPageBreak/>
        <w:t>and facilitators to the integrated model from both community and health system perspectives, as well as assessing public awareness, acceptability, and trust in integrated campaign models. Together, these objectives provide a multi-dimensional understanding of the potential benefits, challenges, and equity implications of VAS-SMC integration.</w:t>
      </w:r>
    </w:p>
    <w:p w14:paraId="4319CE5F" w14:textId="77777777" w:rsidR="00B741C6" w:rsidRPr="00B741C6" w:rsidRDefault="00B741C6" w:rsidP="00B741C6">
      <w:pPr>
        <w:pStyle w:val="BodyText"/>
        <w:spacing w:line="360" w:lineRule="auto"/>
        <w:jc w:val="both"/>
        <w:rPr>
          <w:rFonts w:ascii="Garamond" w:hAnsi="Garamond"/>
          <w:b/>
          <w:bCs/>
          <w:lang w:val="en-GB"/>
        </w:rPr>
      </w:pPr>
      <w:r w:rsidRPr="00B741C6">
        <w:rPr>
          <w:rFonts w:ascii="Garamond" w:hAnsi="Garamond"/>
          <w:b/>
          <w:bCs/>
          <w:lang w:val="en-GB"/>
        </w:rPr>
        <w:t>3.3. Research Questions</w:t>
      </w:r>
    </w:p>
    <w:p w14:paraId="500EF917" w14:textId="77777777"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Guided by the objectives, the study seeks to address several critical research questions that delve into both outcome and process dimensions of the intervention. These questions include: What are the baseline coverage levels of VAS, SMC, deworming, immunization, and nutritional screening among the target populations in Bauchi State? How do caregivers, health workers, and policymakers perceive the integration of VAS into SMC and the removal of VAS from MNCHW? What are the systemic, operational, or sociocultural barriers impeding effective delivery of integrated services? To what extent does the integration affect the quality, completeness, and equity of service provision? And finally, how aware is the community of the integrated campaign model, and what factors influence their participation?</w:t>
      </w:r>
    </w:p>
    <w:p w14:paraId="6976B461" w14:textId="77777777"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These research questions are designed to elicit a comprehensive understanding of both the intended and unintended consequences of integrating VAS into an established preventive health delivery system. They also serve to bridge quantitative outcome metrics with qualitative insights, ensuring that the analysis captures both measurable impact and contextual relevance.</w:t>
      </w:r>
    </w:p>
    <w:p w14:paraId="09F2E2F4" w14:textId="77777777" w:rsidR="00B741C6" w:rsidRPr="00B741C6" w:rsidRDefault="00B741C6" w:rsidP="00B741C6">
      <w:pPr>
        <w:pStyle w:val="BodyText"/>
        <w:spacing w:line="360" w:lineRule="auto"/>
        <w:jc w:val="both"/>
        <w:rPr>
          <w:rFonts w:ascii="Garamond" w:hAnsi="Garamond"/>
          <w:b/>
          <w:bCs/>
          <w:lang w:val="en-GB"/>
        </w:rPr>
      </w:pPr>
      <w:r w:rsidRPr="00B741C6">
        <w:rPr>
          <w:rFonts w:ascii="Garamond" w:hAnsi="Garamond"/>
          <w:b/>
          <w:bCs/>
          <w:lang w:val="en-GB"/>
        </w:rPr>
        <w:t>3.4. Significance of the Study</w:t>
      </w:r>
    </w:p>
    <w:p w14:paraId="45F96BD4" w14:textId="77777777"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 xml:space="preserve">This study is of considerable significance for child health programming in Nigeria and similar malaria-endemic settings. First, it offers a unique opportunity to assess the feasibility and impact of a major service delivery innovation—leveraging SMC’s reach and operational strengths to improve the coverage of VAS, a lifesaving intervention that has traditionally </w:t>
      </w:r>
      <w:proofErr w:type="gramStart"/>
      <w:r w:rsidRPr="00B741C6">
        <w:rPr>
          <w:rFonts w:ascii="Garamond" w:hAnsi="Garamond"/>
          <w:lang w:val="en-GB"/>
        </w:rPr>
        <w:t>lagged behind</w:t>
      </w:r>
      <w:proofErr w:type="gramEnd"/>
      <w:r w:rsidRPr="00B741C6">
        <w:rPr>
          <w:rFonts w:ascii="Garamond" w:hAnsi="Garamond"/>
          <w:lang w:val="en-GB"/>
        </w:rPr>
        <w:t xml:space="preserve"> in national uptake. Second, by excluding VAS from the first MNCHW round of 2025, the study introduces a quasi-experimental element that allows for the observation of changes in community demand and system-level responses, thereby generating real-world evidence on the interplay between service integration and health-seeking </w:t>
      </w:r>
      <w:proofErr w:type="spellStart"/>
      <w:r w:rsidRPr="00B741C6">
        <w:rPr>
          <w:rFonts w:ascii="Garamond" w:hAnsi="Garamond"/>
          <w:lang w:val="en-GB"/>
        </w:rPr>
        <w:t>behavior</w:t>
      </w:r>
      <w:proofErr w:type="spellEnd"/>
      <w:r w:rsidRPr="00B741C6">
        <w:rPr>
          <w:rFonts w:ascii="Garamond" w:hAnsi="Garamond"/>
          <w:lang w:val="en-GB"/>
        </w:rPr>
        <w:t>.</w:t>
      </w:r>
    </w:p>
    <w:p w14:paraId="0CAA7EE8" w14:textId="77777777"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 xml:space="preserve">Moreover, the mixed-methods design enhances the value of the findings by triangulating statistical trends with experiential and perceptual data. This design ensures that technical coverage estimates </w:t>
      </w:r>
      <w:r w:rsidRPr="00B741C6">
        <w:rPr>
          <w:rFonts w:ascii="Garamond" w:hAnsi="Garamond"/>
          <w:lang w:val="en-GB"/>
        </w:rPr>
        <w:lastRenderedPageBreak/>
        <w:t>are contextualized within the lived experiences of caregivers, community stakeholders, and frontline health workers. The insights derived from this approach are expected to inform not only state-level implementation strategies but also national policy deliberations on integrated health service delivery.</w:t>
      </w:r>
    </w:p>
    <w:p w14:paraId="03D34A6D" w14:textId="77777777" w:rsidR="00B741C6" w:rsidRPr="00B741C6" w:rsidRDefault="00B741C6" w:rsidP="00B741C6">
      <w:pPr>
        <w:pStyle w:val="BodyText"/>
        <w:spacing w:line="360" w:lineRule="auto"/>
        <w:jc w:val="both"/>
        <w:rPr>
          <w:rFonts w:ascii="Garamond" w:hAnsi="Garamond"/>
          <w:lang w:val="en-GB"/>
        </w:rPr>
      </w:pPr>
      <w:r w:rsidRPr="00B741C6">
        <w:rPr>
          <w:rFonts w:ascii="Garamond" w:hAnsi="Garamond"/>
          <w:lang w:val="en-GB"/>
        </w:rPr>
        <w:t>In sum, the baseline evaluation contributes to a growing body of operational research aimed at improving efficiency, equity, and effectiveness in child health interventions. It provides critical learning for donors, implementers, and policymakers seeking to optimize delivery models in resource-constrained settings, and it holds the potential to serve as a model for scaling up integrated preventive care in Nigeria and across sub-Saharan Africa.</w:t>
      </w:r>
    </w:p>
    <w:p w14:paraId="21EAD991" w14:textId="77777777" w:rsidR="00726C48" w:rsidRDefault="00726C48" w:rsidP="00726C48">
      <w:pPr>
        <w:pStyle w:val="BodyText"/>
        <w:spacing w:line="360" w:lineRule="auto"/>
        <w:jc w:val="both"/>
        <w:rPr>
          <w:rFonts w:ascii="Garamond" w:hAnsi="Garamond"/>
          <w:b/>
          <w:bCs/>
          <w:lang w:val="en-GB"/>
        </w:rPr>
      </w:pPr>
    </w:p>
    <w:p w14:paraId="421F110A" w14:textId="3811E780" w:rsidR="00726C48" w:rsidRPr="00726C48" w:rsidRDefault="00726C48" w:rsidP="00726C48">
      <w:pPr>
        <w:pStyle w:val="BodyText"/>
        <w:spacing w:line="360" w:lineRule="auto"/>
        <w:jc w:val="both"/>
        <w:rPr>
          <w:rFonts w:ascii="Garamond" w:hAnsi="Garamond"/>
          <w:b/>
          <w:bCs/>
          <w:lang w:val="en-GB"/>
        </w:rPr>
      </w:pPr>
      <w:r w:rsidRPr="00726C48">
        <w:rPr>
          <w:rFonts w:ascii="Garamond" w:hAnsi="Garamond"/>
          <w:b/>
          <w:bCs/>
          <w:lang w:val="en-GB"/>
        </w:rPr>
        <w:t>4. Methodology</w:t>
      </w:r>
    </w:p>
    <w:p w14:paraId="3CDD7982" w14:textId="77777777" w:rsidR="00726C48" w:rsidRPr="00726C48" w:rsidRDefault="00726C48" w:rsidP="00726C48">
      <w:pPr>
        <w:pStyle w:val="BodyText"/>
        <w:spacing w:line="360" w:lineRule="auto"/>
        <w:jc w:val="both"/>
        <w:rPr>
          <w:rFonts w:ascii="Garamond" w:hAnsi="Garamond"/>
          <w:b/>
          <w:bCs/>
          <w:lang w:val="en-GB"/>
        </w:rPr>
      </w:pPr>
      <w:r w:rsidRPr="00726C48">
        <w:rPr>
          <w:rFonts w:ascii="Garamond" w:hAnsi="Garamond"/>
          <w:b/>
          <w:bCs/>
          <w:lang w:val="en-GB"/>
        </w:rPr>
        <w:t>4.1. Study Design</w:t>
      </w:r>
    </w:p>
    <w:p w14:paraId="178B5801" w14:textId="77777777" w:rsidR="00726C48" w:rsidRPr="00726C48" w:rsidRDefault="00726C48" w:rsidP="00726C48">
      <w:pPr>
        <w:pStyle w:val="BodyText"/>
        <w:spacing w:line="360" w:lineRule="auto"/>
        <w:jc w:val="both"/>
        <w:rPr>
          <w:rFonts w:ascii="Garamond" w:hAnsi="Garamond"/>
          <w:lang w:val="en-GB"/>
        </w:rPr>
      </w:pPr>
      <w:r w:rsidRPr="00726C48">
        <w:rPr>
          <w:rFonts w:ascii="Garamond" w:hAnsi="Garamond"/>
          <w:lang w:val="en-GB"/>
        </w:rPr>
        <w:t xml:space="preserve">This baseline evaluation employed a </w:t>
      </w:r>
      <w:r w:rsidRPr="00726C48">
        <w:rPr>
          <w:rFonts w:ascii="Garamond" w:hAnsi="Garamond"/>
          <w:b/>
          <w:bCs/>
          <w:lang w:val="en-GB"/>
        </w:rPr>
        <w:t>convergent mixed-methods design</w:t>
      </w:r>
      <w:r w:rsidRPr="00726C48">
        <w:rPr>
          <w:rFonts w:ascii="Garamond" w:hAnsi="Garamond"/>
          <w:lang w:val="en-GB"/>
        </w:rPr>
        <w:t>, which combines quantitative and qualitative approaches to provide a comprehensive understanding of the research objectives. The rationale for this design lies in its ability to triangulate findings across methodological paradigms, thereby enhancing the depth and validity of insights. Quantitative data were gathered through structured household surveys, while qualitative data were obtained from key informant interviews (KIIs) and focus group discussions (FGDs) involving relevant stakeholders. The two components were executed concurrently, allowing for simultaneous data interpretation and cross-validation of emergent patterns. This design was particularly appropriate given the study’s dual focus on coverage estimation and exploration of stakeholder perceptions regarding the integration of VAS into SMC delivery.</w:t>
      </w:r>
    </w:p>
    <w:p w14:paraId="57BBE7CB" w14:textId="77777777" w:rsidR="00726C48" w:rsidRPr="00726C48" w:rsidRDefault="00726C48" w:rsidP="00726C48">
      <w:pPr>
        <w:pStyle w:val="BodyText"/>
        <w:spacing w:line="360" w:lineRule="auto"/>
        <w:jc w:val="both"/>
        <w:rPr>
          <w:rFonts w:ascii="Garamond" w:hAnsi="Garamond"/>
          <w:b/>
          <w:bCs/>
          <w:lang w:val="en-GB"/>
        </w:rPr>
      </w:pPr>
      <w:r w:rsidRPr="00726C48">
        <w:rPr>
          <w:rFonts w:ascii="Garamond" w:hAnsi="Garamond"/>
          <w:b/>
          <w:bCs/>
          <w:lang w:val="en-GB"/>
        </w:rPr>
        <w:t>4.2. Sampling Strategy</w:t>
      </w:r>
    </w:p>
    <w:p w14:paraId="5EB830E2" w14:textId="44092E8C" w:rsidR="00726C48" w:rsidRPr="00726C48" w:rsidRDefault="00726C48" w:rsidP="00726C48">
      <w:pPr>
        <w:pStyle w:val="BodyText"/>
        <w:spacing w:line="360" w:lineRule="auto"/>
        <w:jc w:val="both"/>
        <w:rPr>
          <w:rFonts w:ascii="Garamond" w:hAnsi="Garamond"/>
          <w:lang w:val="en-GB"/>
        </w:rPr>
      </w:pPr>
      <w:r w:rsidRPr="00726C48">
        <w:rPr>
          <w:rFonts w:ascii="Garamond" w:hAnsi="Garamond"/>
          <w:lang w:val="en-GB"/>
        </w:rPr>
        <w:t xml:space="preserve">The study utilized a </w:t>
      </w:r>
      <w:r w:rsidRPr="00726C48">
        <w:rPr>
          <w:rFonts w:ascii="Garamond" w:hAnsi="Garamond"/>
          <w:b/>
          <w:bCs/>
          <w:lang w:val="en-GB"/>
        </w:rPr>
        <w:t>multi-stage stratified cluster sampling</w:t>
      </w:r>
      <w:r w:rsidRPr="00726C48">
        <w:rPr>
          <w:rFonts w:ascii="Garamond" w:hAnsi="Garamond"/>
          <w:lang w:val="en-GB"/>
        </w:rPr>
        <w:t xml:space="preserve"> strategy to ensure representativeness across all 20 Local Government Areas (LGAs) of Bauchi State. In the first stage, all LGAs were included in the sampling frame, recognizing the need to capture geographic variation in health service delivery and population demographics. Subsequently, within each LGA, wards were stratified by urban and rural characteristics, enabling proportional allocation based on the most recent population estimates</w:t>
      </w:r>
      <w:r>
        <w:rPr>
          <w:rFonts w:ascii="Garamond" w:hAnsi="Garamond"/>
          <w:lang w:val="en-GB"/>
        </w:rPr>
        <w:t>.</w:t>
      </w:r>
    </w:p>
    <w:p w14:paraId="5B383BA5" w14:textId="77777777" w:rsidR="00726C48" w:rsidRPr="00726C48" w:rsidRDefault="00726C48" w:rsidP="00726C48">
      <w:pPr>
        <w:pStyle w:val="BodyText"/>
        <w:spacing w:line="360" w:lineRule="auto"/>
        <w:jc w:val="both"/>
        <w:rPr>
          <w:rFonts w:ascii="Garamond" w:hAnsi="Garamond"/>
          <w:lang w:val="en-GB"/>
        </w:rPr>
      </w:pPr>
      <w:r w:rsidRPr="00726C48">
        <w:rPr>
          <w:rFonts w:ascii="Garamond" w:hAnsi="Garamond"/>
          <w:lang w:val="en-GB"/>
        </w:rPr>
        <w:lastRenderedPageBreak/>
        <w:t>Communities were then randomly selected from each ward using probability proportional to size (PPS), ensuring that more populous communities had a higher likelihood of inclusion. Within selected communities, systematic random sampling was used to identify eligible households, defined as those with at least one child aged 6–59 months or a woman of reproductive age (15–49 years). This rigorous stratification was designed to optimize statistical power for disaggregated analyses while preserving logistical feasibility in the field. The final sample size, determined using standard formulas for cluster sampling and adjusted for a design effect of 2.0, aimed to provide robust estimates for primary indicators with a confidence level of 95% and a margin of error not exceeding ±5 percentage points.</w:t>
      </w:r>
    </w:p>
    <w:p w14:paraId="17551836" w14:textId="77777777" w:rsidR="00726C48" w:rsidRPr="00726C48" w:rsidRDefault="00726C48" w:rsidP="00726C48">
      <w:pPr>
        <w:pStyle w:val="BodyText"/>
        <w:spacing w:line="360" w:lineRule="auto"/>
        <w:jc w:val="both"/>
        <w:rPr>
          <w:rFonts w:ascii="Garamond" w:hAnsi="Garamond"/>
          <w:b/>
          <w:bCs/>
          <w:lang w:val="en-GB"/>
        </w:rPr>
      </w:pPr>
      <w:r w:rsidRPr="00726C48">
        <w:rPr>
          <w:rFonts w:ascii="Garamond" w:hAnsi="Garamond"/>
          <w:b/>
          <w:bCs/>
          <w:lang w:val="en-GB"/>
        </w:rPr>
        <w:t>4.3. Data Collection Procedures</w:t>
      </w:r>
    </w:p>
    <w:p w14:paraId="368E9F57" w14:textId="77777777" w:rsidR="00726C48" w:rsidRPr="00726C48" w:rsidRDefault="00726C48" w:rsidP="00726C48">
      <w:pPr>
        <w:pStyle w:val="BodyText"/>
        <w:spacing w:line="360" w:lineRule="auto"/>
        <w:jc w:val="both"/>
        <w:rPr>
          <w:rFonts w:ascii="Garamond" w:hAnsi="Garamond"/>
          <w:lang w:val="en-GB"/>
        </w:rPr>
      </w:pPr>
      <w:r w:rsidRPr="00726C48">
        <w:rPr>
          <w:rFonts w:ascii="Garamond" w:hAnsi="Garamond"/>
          <w:lang w:val="en-GB"/>
        </w:rPr>
        <w:t xml:space="preserve">Data collection was conducted in April 2025 by trained enumerators operating in teams supervised by field coordinators. The </w:t>
      </w:r>
      <w:r w:rsidRPr="00726C48">
        <w:rPr>
          <w:rFonts w:ascii="Garamond" w:hAnsi="Garamond"/>
          <w:b/>
          <w:bCs/>
          <w:lang w:val="en-GB"/>
        </w:rPr>
        <w:t>quantitative component</w:t>
      </w:r>
      <w:r w:rsidRPr="00726C48">
        <w:rPr>
          <w:rFonts w:ascii="Garamond" w:hAnsi="Garamond"/>
          <w:lang w:val="en-GB"/>
        </w:rPr>
        <w:t xml:space="preserve"> involved structured household questionnaires administered using mobile tablets programmed with electronic data collection software. The questionnaires captured data on demographic characteristics, child health interventions (SMC, VAS, deworming, immunization, and nutrition), maternal health services, and barriers to service access. Built-in consistency checks and skip logic were embedded in the tools to reduce interviewer error and improve data quality.</w:t>
      </w:r>
    </w:p>
    <w:p w14:paraId="1883B0A3" w14:textId="77777777" w:rsidR="00726C48" w:rsidRPr="00726C48" w:rsidRDefault="00726C48" w:rsidP="00726C48">
      <w:pPr>
        <w:pStyle w:val="BodyText"/>
        <w:spacing w:line="360" w:lineRule="auto"/>
        <w:jc w:val="both"/>
        <w:rPr>
          <w:rFonts w:ascii="Garamond" w:hAnsi="Garamond"/>
          <w:lang w:val="en-GB"/>
        </w:rPr>
      </w:pPr>
      <w:r w:rsidRPr="00726C48">
        <w:rPr>
          <w:rFonts w:ascii="Garamond" w:hAnsi="Garamond"/>
          <w:lang w:val="en-GB"/>
        </w:rPr>
        <w:t xml:space="preserve">The </w:t>
      </w:r>
      <w:r w:rsidRPr="00726C48">
        <w:rPr>
          <w:rFonts w:ascii="Garamond" w:hAnsi="Garamond"/>
          <w:b/>
          <w:bCs/>
          <w:lang w:val="en-GB"/>
        </w:rPr>
        <w:t>qualitative component</w:t>
      </w:r>
      <w:r w:rsidRPr="00726C48">
        <w:rPr>
          <w:rFonts w:ascii="Garamond" w:hAnsi="Garamond"/>
          <w:lang w:val="en-GB"/>
        </w:rPr>
        <w:t xml:space="preserve"> comprised KIIs with program managers, health officials, and policymakers at both state and LGA levels, as well as FGDs with caregivers, community leaders, and frontline health workers. These discussions were guided by semi-structured protocols informed by the study objectives and existing literature on integrated service delivery. All sessions were audio-recorded, transcribed verbatim, and translated into English where necessary. Fieldnotes were also maintained to capture non-verbal cues and contextual factors influencing responses.</w:t>
      </w:r>
    </w:p>
    <w:p w14:paraId="0F1C2380" w14:textId="77777777" w:rsidR="00726C48" w:rsidRPr="00726C48" w:rsidRDefault="00726C48" w:rsidP="00726C48">
      <w:pPr>
        <w:pStyle w:val="BodyText"/>
        <w:spacing w:line="360" w:lineRule="auto"/>
        <w:jc w:val="both"/>
        <w:rPr>
          <w:rFonts w:ascii="Garamond" w:hAnsi="Garamond"/>
          <w:lang w:val="en-GB"/>
        </w:rPr>
      </w:pPr>
      <w:r w:rsidRPr="00726C48">
        <w:rPr>
          <w:rFonts w:ascii="Garamond" w:hAnsi="Garamond"/>
          <w:lang w:val="en-GB"/>
        </w:rPr>
        <w:t>To ensure data integrity, multiple layers of supervision were instituted. These included daily checks of completed interviews, real-time data uploads to a centralized server, and random spot checks using GPS-enabled verification. Enumerators received intensive training on ethical protocols, tool administration, and community entry strategies prior to field deployment.</w:t>
      </w:r>
    </w:p>
    <w:p w14:paraId="458AA783" w14:textId="77777777" w:rsidR="00726C48" w:rsidRPr="00726C48" w:rsidRDefault="00726C48" w:rsidP="00726C48">
      <w:pPr>
        <w:pStyle w:val="BodyText"/>
        <w:spacing w:line="360" w:lineRule="auto"/>
        <w:jc w:val="both"/>
        <w:rPr>
          <w:rFonts w:ascii="Garamond" w:hAnsi="Garamond"/>
          <w:b/>
          <w:bCs/>
          <w:lang w:val="en-GB"/>
        </w:rPr>
      </w:pPr>
      <w:r w:rsidRPr="00726C48">
        <w:rPr>
          <w:rFonts w:ascii="Garamond" w:hAnsi="Garamond"/>
          <w:b/>
          <w:bCs/>
          <w:lang w:val="en-GB"/>
        </w:rPr>
        <w:t>4.4. Analytical Methods</w:t>
      </w:r>
    </w:p>
    <w:p w14:paraId="73492766" w14:textId="32A8ADCF" w:rsidR="00726C48" w:rsidRPr="00726C48" w:rsidRDefault="00726C48" w:rsidP="00726C48">
      <w:pPr>
        <w:pStyle w:val="BodyText"/>
        <w:spacing w:line="360" w:lineRule="auto"/>
        <w:jc w:val="both"/>
        <w:rPr>
          <w:rFonts w:ascii="Garamond" w:hAnsi="Garamond"/>
          <w:lang w:val="en-GB"/>
        </w:rPr>
      </w:pPr>
      <w:r w:rsidRPr="00726C48">
        <w:rPr>
          <w:rFonts w:ascii="Garamond" w:hAnsi="Garamond"/>
          <w:lang w:val="en-GB"/>
        </w:rPr>
        <w:lastRenderedPageBreak/>
        <w:t xml:space="preserve">Quantitative data analysis was carried out using </w:t>
      </w:r>
      <w:r w:rsidRPr="00726C48">
        <w:rPr>
          <w:rFonts w:ascii="Garamond" w:hAnsi="Garamond"/>
          <w:b/>
          <w:bCs/>
          <w:lang w:val="en-GB"/>
        </w:rPr>
        <w:t>R</w:t>
      </w:r>
      <w:r>
        <w:rPr>
          <w:rFonts w:ascii="Garamond" w:hAnsi="Garamond"/>
          <w:lang w:val="en-GB"/>
        </w:rPr>
        <w:t xml:space="preserve">, SPSS </w:t>
      </w:r>
      <w:r w:rsidRPr="00726C48">
        <w:rPr>
          <w:rFonts w:ascii="Garamond" w:hAnsi="Garamond"/>
          <w:lang w:val="en-GB"/>
        </w:rPr>
        <w:t xml:space="preserve">and </w:t>
      </w:r>
      <w:r w:rsidRPr="00726C48">
        <w:rPr>
          <w:rFonts w:ascii="Garamond" w:hAnsi="Garamond"/>
          <w:b/>
          <w:bCs/>
          <w:lang w:val="en-GB"/>
        </w:rPr>
        <w:t>Microsoft Power BI</w:t>
      </w:r>
      <w:r w:rsidRPr="00726C48">
        <w:rPr>
          <w:rFonts w:ascii="Garamond" w:hAnsi="Garamond"/>
          <w:lang w:val="en-GB"/>
        </w:rPr>
        <w:t>, with an emphasis on descriptive and inferential statistics. Key indicators were calculated with accompanying 95% confidence intervals, and subgroup analyses were conducted across LGAs, household wealth quintiles, and educational attainment. Statistical significance of observed differences was assessed using Pearson’s chi-squared tests, and effect sizes were estimated using Cramér’s V. Sampling weights were applied to correct for unequal probabilities of selection and non-response, ensuring that the results were generalizable to the wider population of Bauchi State.</w:t>
      </w:r>
    </w:p>
    <w:p w14:paraId="47484FE5" w14:textId="77777777" w:rsidR="00726C48" w:rsidRPr="00726C48" w:rsidRDefault="00726C48" w:rsidP="00726C48">
      <w:pPr>
        <w:pStyle w:val="BodyText"/>
        <w:spacing w:line="360" w:lineRule="auto"/>
        <w:jc w:val="both"/>
        <w:rPr>
          <w:rFonts w:ascii="Garamond" w:hAnsi="Garamond"/>
          <w:b/>
          <w:bCs/>
          <w:lang w:val="en-GB"/>
        </w:rPr>
      </w:pPr>
      <w:r w:rsidRPr="00726C48">
        <w:rPr>
          <w:rFonts w:ascii="Garamond" w:hAnsi="Garamond"/>
          <w:b/>
          <w:bCs/>
          <w:lang w:val="en-GB"/>
        </w:rPr>
        <w:t>4.5. Ethical Considerations</w:t>
      </w:r>
    </w:p>
    <w:p w14:paraId="09E1A90A" w14:textId="502FA39B" w:rsidR="00726C48" w:rsidRDefault="00726C48" w:rsidP="00726C48">
      <w:pPr>
        <w:spacing w:line="360" w:lineRule="auto"/>
        <w:ind w:left="-5" w:right="7"/>
        <w:jc w:val="both"/>
        <w:rPr>
          <w:rFonts w:ascii="Garamond" w:hAnsi="Garamond"/>
          <w:lang w:val="en-GB"/>
        </w:rPr>
      </w:pPr>
      <w:r w:rsidRPr="00726C48">
        <w:rPr>
          <w:rFonts w:ascii="Garamond" w:hAnsi="Garamond"/>
          <w:lang w:val="en-GB"/>
        </w:rPr>
        <w:t xml:space="preserve">Interview, focus group and survey participants </w:t>
      </w:r>
      <w:r>
        <w:rPr>
          <w:rFonts w:ascii="Garamond" w:hAnsi="Garamond"/>
          <w:lang w:val="en-GB"/>
        </w:rPr>
        <w:t>are</w:t>
      </w:r>
      <w:r w:rsidRPr="00726C48">
        <w:rPr>
          <w:rFonts w:ascii="Garamond" w:hAnsi="Garamond"/>
          <w:lang w:val="en-GB"/>
        </w:rPr>
        <w:t xml:space="preserve"> provided with full information about the pilot study, their participation</w:t>
      </w:r>
      <w:r>
        <w:rPr>
          <w:rFonts w:ascii="Garamond" w:hAnsi="Garamond"/>
          <w:lang w:val="en-GB"/>
        </w:rPr>
        <w:t>,</w:t>
      </w:r>
      <w:r w:rsidRPr="00726C48">
        <w:rPr>
          <w:rFonts w:ascii="Garamond" w:hAnsi="Garamond"/>
          <w:lang w:val="en-GB"/>
        </w:rPr>
        <w:t xml:space="preserve"> and the potential risks and benefits of participation. Written consent of the study participants </w:t>
      </w:r>
      <w:r>
        <w:rPr>
          <w:rFonts w:ascii="Garamond" w:hAnsi="Garamond"/>
          <w:lang w:val="en-GB"/>
        </w:rPr>
        <w:t>is</w:t>
      </w:r>
      <w:r w:rsidRPr="00726C48">
        <w:rPr>
          <w:rFonts w:ascii="Garamond" w:hAnsi="Garamond"/>
          <w:lang w:val="en-GB"/>
        </w:rPr>
        <w:t xml:space="preserve"> </w:t>
      </w:r>
      <w:r w:rsidRPr="00726C48">
        <w:rPr>
          <w:rFonts w:ascii="Garamond" w:hAnsi="Garamond"/>
          <w:lang w:val="en-GB"/>
        </w:rPr>
        <w:t>sought</w:t>
      </w:r>
      <w:r w:rsidRPr="00726C48">
        <w:rPr>
          <w:rFonts w:ascii="Garamond" w:hAnsi="Garamond"/>
          <w:lang w:val="en-GB"/>
        </w:rPr>
        <w:t xml:space="preserve">, and individuals </w:t>
      </w:r>
      <w:r>
        <w:rPr>
          <w:rFonts w:ascii="Garamond" w:hAnsi="Garamond"/>
          <w:lang w:val="en-GB"/>
        </w:rPr>
        <w:t>are</w:t>
      </w:r>
      <w:r w:rsidRPr="00726C48">
        <w:rPr>
          <w:rFonts w:ascii="Garamond" w:hAnsi="Garamond"/>
          <w:lang w:val="en-GB"/>
        </w:rPr>
        <w:t xml:space="preserve"> given the option to opt out of the study </w:t>
      </w:r>
      <w:r>
        <w:rPr>
          <w:rFonts w:ascii="Garamond" w:hAnsi="Garamond"/>
          <w:lang w:val="en-GB"/>
        </w:rPr>
        <w:t xml:space="preserve">at </w:t>
      </w:r>
      <w:r w:rsidRPr="00726C48">
        <w:rPr>
          <w:rFonts w:ascii="Garamond" w:hAnsi="Garamond"/>
          <w:lang w:val="en-GB"/>
        </w:rPr>
        <w:t xml:space="preserve">any time. For illiterate participants, a thumbprint </w:t>
      </w:r>
      <w:r>
        <w:rPr>
          <w:rFonts w:ascii="Garamond" w:hAnsi="Garamond"/>
          <w:lang w:val="en-GB"/>
        </w:rPr>
        <w:t xml:space="preserve">is accepted in place of a signature, and an impartial witness is </w:t>
      </w:r>
      <w:r w:rsidRPr="00726C48">
        <w:rPr>
          <w:rFonts w:ascii="Garamond" w:hAnsi="Garamond"/>
          <w:lang w:val="en-GB"/>
        </w:rPr>
        <w:t xml:space="preserve">called to verify </w:t>
      </w:r>
      <w:r>
        <w:rPr>
          <w:rFonts w:ascii="Garamond" w:hAnsi="Garamond"/>
          <w:lang w:val="en-GB"/>
        </w:rPr>
        <w:t xml:space="preserve">that </w:t>
      </w:r>
      <w:r w:rsidRPr="00726C48">
        <w:rPr>
          <w:rFonts w:ascii="Garamond" w:hAnsi="Garamond"/>
          <w:lang w:val="en-GB"/>
        </w:rPr>
        <w:t xml:space="preserve">the participant has been fully informed and understands that they are agreeing to participate in research, and they understand the study procedures. Refusal to participate </w:t>
      </w:r>
      <w:r>
        <w:rPr>
          <w:rFonts w:ascii="Garamond" w:hAnsi="Garamond"/>
          <w:lang w:val="en-GB"/>
        </w:rPr>
        <w:t>are</w:t>
      </w:r>
      <w:r w:rsidRPr="00726C48">
        <w:rPr>
          <w:rFonts w:ascii="Garamond" w:hAnsi="Garamond"/>
          <w:lang w:val="en-GB"/>
        </w:rPr>
        <w:t xml:space="preserve"> not affect any support or services they normally receive from Malaria Consortium. Participants can ask the data collectors for clarification if needed. Where they are unable to answer, their supervisors will be asked to clarify. The consent forms </w:t>
      </w:r>
      <w:r>
        <w:rPr>
          <w:rFonts w:ascii="Garamond" w:hAnsi="Garamond"/>
          <w:lang w:val="en-GB"/>
        </w:rPr>
        <w:t>are</w:t>
      </w:r>
      <w:r w:rsidRPr="00726C48">
        <w:rPr>
          <w:rFonts w:ascii="Garamond" w:hAnsi="Garamond"/>
          <w:lang w:val="en-GB"/>
        </w:rPr>
        <w:t xml:space="preserve"> also </w:t>
      </w:r>
      <w:proofErr w:type="gramStart"/>
      <w:r w:rsidRPr="00726C48">
        <w:rPr>
          <w:rFonts w:ascii="Garamond" w:hAnsi="Garamond"/>
          <w:lang w:val="en-GB"/>
        </w:rPr>
        <w:t>carry</w:t>
      </w:r>
      <w:proofErr w:type="gramEnd"/>
      <w:r w:rsidRPr="00726C48">
        <w:rPr>
          <w:rFonts w:ascii="Garamond" w:hAnsi="Garamond"/>
          <w:lang w:val="en-GB"/>
        </w:rPr>
        <w:t xml:space="preserve"> the contact details of the Principal Investigator for the study and </w:t>
      </w:r>
      <w:r w:rsidRPr="00726C48">
        <w:rPr>
          <w:rFonts w:ascii="Garamond" w:hAnsi="Garamond"/>
          <w:lang w:val="en-GB"/>
        </w:rPr>
        <w:t>those</w:t>
      </w:r>
      <w:r w:rsidRPr="00726C48">
        <w:rPr>
          <w:rFonts w:ascii="Garamond" w:hAnsi="Garamond"/>
          <w:lang w:val="en-GB"/>
        </w:rPr>
        <w:t xml:space="preserve"> of the ethics committee contact person, through which they can be reached.  </w:t>
      </w:r>
    </w:p>
    <w:p w14:paraId="06144137" w14:textId="77777777" w:rsidR="00D021CE" w:rsidRDefault="00D021CE" w:rsidP="00726C48">
      <w:pPr>
        <w:spacing w:after="503" w:line="276" w:lineRule="auto"/>
        <w:ind w:left="-5" w:right="6"/>
        <w:jc w:val="both"/>
        <w:rPr>
          <w:rFonts w:ascii="Garamond" w:eastAsiaTheme="majorEastAsia" w:hAnsi="Garamond" w:cstheme="majorBidi"/>
          <w:b/>
          <w:bCs/>
          <w:sz w:val="26"/>
          <w:szCs w:val="26"/>
        </w:rPr>
      </w:pPr>
      <w:r>
        <w:rPr>
          <w:rFonts w:ascii="Garamond" w:eastAsiaTheme="majorEastAsia" w:hAnsi="Garamond" w:cstheme="majorBidi"/>
          <w:b/>
          <w:bCs/>
          <w:sz w:val="26"/>
          <w:szCs w:val="26"/>
        </w:rPr>
        <w:t xml:space="preserve">4.5.1. Ethical Approval  </w:t>
      </w:r>
    </w:p>
    <w:p w14:paraId="43CE07FC" w14:textId="77777777" w:rsidR="00D021CE" w:rsidRDefault="00D021CE" w:rsidP="00D021CE">
      <w:pPr>
        <w:spacing w:after="503" w:line="360" w:lineRule="auto"/>
        <w:ind w:left="-5" w:right="6"/>
        <w:jc w:val="both"/>
        <w:rPr>
          <w:rFonts w:ascii="Garamond" w:eastAsiaTheme="majorEastAsia" w:hAnsi="Garamond" w:cstheme="majorBidi"/>
        </w:rPr>
      </w:pPr>
      <w:r w:rsidRPr="00D021CE">
        <w:rPr>
          <w:rFonts w:ascii="Garamond" w:eastAsiaTheme="majorEastAsia" w:hAnsi="Garamond" w:cstheme="majorBidi"/>
        </w:rPr>
        <w:t xml:space="preserve">The study protocol was submitted to the Bauchi State Ethical Review Committee chairman for review and approval. The study </w:t>
      </w:r>
      <w:proofErr w:type="gramStart"/>
      <w:r w:rsidRPr="00D021CE">
        <w:rPr>
          <w:rFonts w:ascii="Garamond" w:eastAsiaTheme="majorEastAsia" w:hAnsi="Garamond" w:cstheme="majorBidi"/>
        </w:rPr>
        <w:t>complied</w:t>
      </w:r>
      <w:proofErr w:type="gramEnd"/>
      <w:r w:rsidRPr="00D021CE">
        <w:rPr>
          <w:rFonts w:ascii="Garamond" w:eastAsiaTheme="majorEastAsia" w:hAnsi="Garamond" w:cstheme="majorBidi"/>
        </w:rPr>
        <w:t xml:space="preserve"> with all ethical guidelines and regulations outlined by these committees to ensure the rights, safety, and well-being of all participants were fully protected throughout the research process.  </w:t>
      </w:r>
    </w:p>
    <w:p w14:paraId="52FB95A0" w14:textId="3F1B5BCD" w:rsidR="00726C48" w:rsidRPr="00D021CE" w:rsidRDefault="00D021CE" w:rsidP="00D021CE">
      <w:pPr>
        <w:spacing w:after="503" w:line="360" w:lineRule="auto"/>
        <w:ind w:left="-5" w:right="6"/>
        <w:jc w:val="both"/>
        <w:rPr>
          <w:rFonts w:ascii="Garamond" w:eastAsiaTheme="majorEastAsia" w:hAnsi="Garamond" w:cstheme="majorBidi"/>
        </w:rPr>
      </w:pPr>
      <w:r w:rsidRPr="00D021CE">
        <w:rPr>
          <w:rFonts w:ascii="Garamond" w:eastAsiaTheme="majorEastAsia" w:hAnsi="Garamond" w:cstheme="majorBidi"/>
        </w:rPr>
        <w:t xml:space="preserve">Informed consent was administered to the participants, and written signed consent was obtained prior to the commencement of the FGD and KII sessions. Participants were informed about the purpose of the study, the benefits, and their rights to withdraw from the study at any point they wished, without any consequences to the services or support they normally received from Malaria </w:t>
      </w:r>
      <w:r w:rsidRPr="00D021CE">
        <w:rPr>
          <w:rFonts w:ascii="Garamond" w:eastAsiaTheme="majorEastAsia" w:hAnsi="Garamond" w:cstheme="majorBidi"/>
        </w:rPr>
        <w:lastRenderedPageBreak/>
        <w:t xml:space="preserve">Consortium. The confidentiality of participants was ensured; the biodata of the participants was not mentioned during data interpretation, and codes were used to ensure </w:t>
      </w:r>
      <w:proofErr w:type="gramStart"/>
      <w:r w:rsidRPr="00D021CE">
        <w:rPr>
          <w:rFonts w:ascii="Garamond" w:eastAsiaTheme="majorEastAsia" w:hAnsi="Garamond" w:cstheme="majorBidi"/>
        </w:rPr>
        <w:t>the anonymity</w:t>
      </w:r>
      <w:proofErr w:type="gramEnd"/>
      <w:r w:rsidRPr="00D021CE">
        <w:rPr>
          <w:rFonts w:ascii="Garamond" w:eastAsiaTheme="majorEastAsia" w:hAnsi="Garamond" w:cstheme="majorBidi"/>
        </w:rPr>
        <w:t xml:space="preserve"> of responses.</w:t>
      </w:r>
    </w:p>
    <w:p w14:paraId="0D8F06D5" w14:textId="77777777" w:rsidR="00726C48" w:rsidRPr="00726C48" w:rsidRDefault="00726C48" w:rsidP="00726C48">
      <w:pPr>
        <w:pStyle w:val="BodyText"/>
        <w:spacing w:line="360" w:lineRule="auto"/>
        <w:jc w:val="both"/>
        <w:rPr>
          <w:rFonts w:ascii="Garamond" w:hAnsi="Garamond"/>
          <w:b/>
          <w:bCs/>
          <w:lang w:val="en-GB"/>
        </w:rPr>
      </w:pPr>
      <w:r w:rsidRPr="00726C48">
        <w:rPr>
          <w:rFonts w:ascii="Garamond" w:hAnsi="Garamond"/>
          <w:b/>
          <w:bCs/>
          <w:lang w:val="en-GB"/>
        </w:rPr>
        <w:t>4.6. Study Limitations</w:t>
      </w:r>
    </w:p>
    <w:p w14:paraId="4305C25D" w14:textId="77777777" w:rsidR="00726C48" w:rsidRPr="00726C48" w:rsidRDefault="00726C48" w:rsidP="00726C48">
      <w:pPr>
        <w:pStyle w:val="BodyText"/>
        <w:spacing w:line="360" w:lineRule="auto"/>
        <w:jc w:val="both"/>
        <w:rPr>
          <w:rFonts w:ascii="Garamond" w:hAnsi="Garamond"/>
          <w:lang w:val="en-GB"/>
        </w:rPr>
      </w:pPr>
      <w:r w:rsidRPr="00726C48">
        <w:rPr>
          <w:rFonts w:ascii="Garamond" w:hAnsi="Garamond"/>
          <w:lang w:val="en-GB"/>
        </w:rPr>
        <w:t xml:space="preserve">While the study design was rigorous, certain limitations must be acknowledged. First, the </w:t>
      </w:r>
      <w:r w:rsidRPr="00726C48">
        <w:rPr>
          <w:rFonts w:ascii="Garamond" w:hAnsi="Garamond"/>
          <w:b/>
          <w:bCs/>
          <w:lang w:val="en-GB"/>
        </w:rPr>
        <w:t>cross-sectional nature</w:t>
      </w:r>
      <w:r w:rsidRPr="00726C48">
        <w:rPr>
          <w:rFonts w:ascii="Garamond" w:hAnsi="Garamond"/>
          <w:lang w:val="en-GB"/>
        </w:rPr>
        <w:t xml:space="preserve"> of the baseline survey precludes causal inferences regarding the effects of integration; it provides only a temporal snapshot of conditions prior to the intervention. Second, there is potential for </w:t>
      </w:r>
      <w:r w:rsidRPr="00726C48">
        <w:rPr>
          <w:rFonts w:ascii="Garamond" w:hAnsi="Garamond"/>
          <w:b/>
          <w:bCs/>
          <w:lang w:val="en-GB"/>
        </w:rPr>
        <w:t>recall bias</w:t>
      </w:r>
      <w:r w:rsidRPr="00726C48">
        <w:rPr>
          <w:rFonts w:ascii="Garamond" w:hAnsi="Garamond"/>
          <w:lang w:val="en-GB"/>
        </w:rPr>
        <w:t xml:space="preserve"> in self-reported indicators, particularly regarding the timing and source of health services received. Although health card verification was attempted where possible, documentation was not consistently available across households. Third, </w:t>
      </w:r>
      <w:r w:rsidRPr="00726C48">
        <w:rPr>
          <w:rFonts w:ascii="Garamond" w:hAnsi="Garamond"/>
          <w:b/>
          <w:bCs/>
          <w:lang w:val="en-GB"/>
        </w:rPr>
        <w:t>social desirability bias</w:t>
      </w:r>
      <w:r w:rsidRPr="00726C48">
        <w:rPr>
          <w:rFonts w:ascii="Garamond" w:hAnsi="Garamond"/>
          <w:lang w:val="en-GB"/>
        </w:rPr>
        <w:t xml:space="preserve"> may have influenced caregiver responses, especially in contexts where health workers are highly respected.</w:t>
      </w:r>
    </w:p>
    <w:p w14:paraId="0D832B22" w14:textId="77777777" w:rsidR="00726C48" w:rsidRDefault="00726C48" w:rsidP="00726C48">
      <w:pPr>
        <w:pStyle w:val="BodyText"/>
        <w:spacing w:line="360" w:lineRule="auto"/>
        <w:jc w:val="both"/>
        <w:rPr>
          <w:rFonts w:ascii="Garamond" w:hAnsi="Garamond"/>
          <w:lang w:val="en-GB"/>
        </w:rPr>
      </w:pPr>
      <w:r w:rsidRPr="00726C48">
        <w:rPr>
          <w:rFonts w:ascii="Garamond" w:hAnsi="Garamond"/>
          <w:lang w:val="en-GB"/>
        </w:rPr>
        <w:t>Despite these limitations, the methodological rigor and triangulated approach provide a strong foundation for interpreting baseline conditions and informing the subsequent impact evaluation.</w:t>
      </w:r>
    </w:p>
    <w:p w14:paraId="649CFF36" w14:textId="77777777" w:rsidR="00006865" w:rsidRPr="00006865" w:rsidRDefault="00006865" w:rsidP="00006865">
      <w:pPr>
        <w:pStyle w:val="BodyText"/>
        <w:spacing w:line="360" w:lineRule="auto"/>
        <w:jc w:val="both"/>
        <w:rPr>
          <w:rFonts w:ascii="Garamond" w:hAnsi="Garamond"/>
          <w:b/>
          <w:bCs/>
          <w:lang w:val="en-GB"/>
        </w:rPr>
      </w:pPr>
      <w:r w:rsidRPr="00006865">
        <w:rPr>
          <w:rFonts w:ascii="Garamond" w:hAnsi="Garamond"/>
          <w:b/>
          <w:bCs/>
          <w:lang w:val="en-GB"/>
        </w:rPr>
        <w:t>5. Results</w:t>
      </w:r>
    </w:p>
    <w:p w14:paraId="75F7A41D" w14:textId="77777777" w:rsidR="00006865" w:rsidRPr="00006865" w:rsidRDefault="00006865" w:rsidP="00006865">
      <w:pPr>
        <w:pStyle w:val="BodyText"/>
        <w:spacing w:line="360" w:lineRule="auto"/>
        <w:jc w:val="both"/>
        <w:rPr>
          <w:rFonts w:ascii="Garamond" w:hAnsi="Garamond"/>
          <w:b/>
          <w:bCs/>
          <w:lang w:val="en-GB"/>
        </w:rPr>
      </w:pPr>
      <w:r w:rsidRPr="00006865">
        <w:rPr>
          <w:rFonts w:ascii="Garamond" w:hAnsi="Garamond"/>
          <w:b/>
          <w:bCs/>
          <w:lang w:val="en-GB"/>
        </w:rPr>
        <w:t>5.1. Demographic and Socioeconomic Profile</w:t>
      </w:r>
    </w:p>
    <w:p w14:paraId="385FE326" w14:textId="77777777" w:rsidR="00006865" w:rsidRPr="00006865" w:rsidRDefault="00006865" w:rsidP="00006865">
      <w:pPr>
        <w:pStyle w:val="BodyText"/>
        <w:spacing w:line="360" w:lineRule="auto"/>
        <w:jc w:val="both"/>
        <w:rPr>
          <w:rFonts w:ascii="Garamond" w:hAnsi="Garamond"/>
          <w:lang w:val="en-GB"/>
        </w:rPr>
      </w:pPr>
      <w:r w:rsidRPr="00006865">
        <w:rPr>
          <w:rFonts w:ascii="Garamond" w:hAnsi="Garamond"/>
          <w:lang w:val="en-GB"/>
        </w:rPr>
        <w:t>The baseline survey covered a total of 8,064 households across all 20 Local Government Areas (LGAs) in Bauchi State, yielding a geographically representative dataset. No single LGA contributed more than 6.2% of the sample, reflecting a balanced distribution. This even sampling framework enhances the generalizability of the findings and provides insights into the heterogeneity of health access and outcomes across administrative divisions.</w:t>
      </w:r>
    </w:p>
    <w:p w14:paraId="5199F0F6" w14:textId="3E9CDF4D" w:rsidR="00006865" w:rsidRPr="00006865" w:rsidRDefault="00006865" w:rsidP="00DC4FB6">
      <w:pPr>
        <w:pStyle w:val="BodyText"/>
        <w:spacing w:line="360" w:lineRule="auto"/>
        <w:jc w:val="both"/>
        <w:rPr>
          <w:rFonts w:ascii="Garamond" w:hAnsi="Garamond"/>
          <w:lang w:val="en-GB"/>
        </w:rPr>
      </w:pPr>
      <w:r w:rsidRPr="00006865">
        <w:rPr>
          <w:rFonts w:ascii="Garamond" w:hAnsi="Garamond"/>
          <w:lang w:val="en-GB"/>
        </w:rPr>
        <w:t xml:space="preserve">The demographic composition of households reflects a population structure characterized by high fertility and extended family networks, typical of northern Nigeria. On average, </w:t>
      </w:r>
      <w:r w:rsidR="00DC4FB6" w:rsidRPr="00DC4FB6">
        <w:rPr>
          <w:rFonts w:ascii="Garamond" w:hAnsi="Garamond"/>
          <w:lang w:val="en-GB"/>
        </w:rPr>
        <w:t>each household reported</w:t>
      </w:r>
      <w:r w:rsidR="00DC4FB6">
        <w:rPr>
          <w:rFonts w:ascii="Garamond" w:hAnsi="Garamond"/>
          <w:lang w:val="en-GB"/>
        </w:rPr>
        <w:t xml:space="preserve"> </w:t>
      </w:r>
      <w:r w:rsidR="00DC4FB6" w:rsidRPr="00DC4FB6">
        <w:rPr>
          <w:rFonts w:ascii="Garamond" w:hAnsi="Garamond"/>
          <w:lang w:val="en-GB"/>
        </w:rPr>
        <w:t>approximately two children eligible for SMC &amp; VAS (mean = 2.01)</w:t>
      </w:r>
      <w:r w:rsidRPr="00006865">
        <w:rPr>
          <w:rFonts w:ascii="Garamond" w:hAnsi="Garamond"/>
          <w:lang w:val="en-GB"/>
        </w:rPr>
        <w:t>, and nearly two women of childbearing age (mean = 1.77). Some households reported as many as 17 eligible children or 27 women of reproductive age, underscoring the scale of the intervention target group and the logistical demands of reaching them effectively.</w:t>
      </w:r>
    </w:p>
    <w:p w14:paraId="19BDE423" w14:textId="44CDB642" w:rsidR="00006865" w:rsidRPr="00006865" w:rsidRDefault="00006865" w:rsidP="00006865">
      <w:pPr>
        <w:pStyle w:val="BodyText"/>
        <w:spacing w:line="360" w:lineRule="auto"/>
        <w:jc w:val="both"/>
        <w:rPr>
          <w:rFonts w:ascii="Garamond" w:hAnsi="Garamond"/>
          <w:lang w:val="en-GB"/>
        </w:rPr>
      </w:pPr>
      <w:r w:rsidRPr="00006865">
        <w:rPr>
          <w:rFonts w:ascii="Garamond" w:hAnsi="Garamond"/>
          <w:lang w:val="en-GB"/>
        </w:rPr>
        <w:lastRenderedPageBreak/>
        <w:t xml:space="preserve">The age distribution of respondents was consistent with programmatic expectations. The average age of selected women was 27.7 years, while household heads averaged 41.3 years. A significant </w:t>
      </w:r>
      <w:r w:rsidR="00DC4FB6">
        <w:rPr>
          <w:rFonts w:ascii="Garamond" w:hAnsi="Garamond"/>
          <w:lang w:val="en-GB"/>
        </w:rPr>
        <w:t xml:space="preserve">number of the household heads were mostly males, who </w:t>
      </w:r>
      <w:r w:rsidR="00DC4FB6" w:rsidRPr="00006865">
        <w:rPr>
          <w:rFonts w:ascii="Garamond" w:hAnsi="Garamond"/>
          <w:lang w:val="en-GB"/>
        </w:rPr>
        <w:t>constitut</w:t>
      </w:r>
      <w:r w:rsidR="00DC4FB6">
        <w:rPr>
          <w:rFonts w:ascii="Garamond" w:hAnsi="Garamond"/>
          <w:lang w:val="en-GB"/>
        </w:rPr>
        <w:t>ed</w:t>
      </w:r>
      <w:r w:rsidRPr="00006865">
        <w:rPr>
          <w:rFonts w:ascii="Garamond" w:hAnsi="Garamond"/>
          <w:lang w:val="en-GB"/>
        </w:rPr>
        <w:t xml:space="preserve"> 97.3% of the total. </w:t>
      </w:r>
    </w:p>
    <w:p w14:paraId="24E5D33B" w14:textId="46C065F4" w:rsidR="00006865" w:rsidRDefault="00006865" w:rsidP="00006865">
      <w:pPr>
        <w:pStyle w:val="BodyText"/>
        <w:spacing w:line="360" w:lineRule="auto"/>
        <w:jc w:val="both"/>
        <w:rPr>
          <w:rFonts w:ascii="Garamond" w:hAnsi="Garamond"/>
          <w:lang w:val="en-GB"/>
        </w:rPr>
      </w:pPr>
      <w:r w:rsidRPr="00006865">
        <w:rPr>
          <w:rFonts w:ascii="Garamond" w:hAnsi="Garamond"/>
          <w:lang w:val="en-GB"/>
        </w:rPr>
        <w:t xml:space="preserve">In terms of socioeconomic status, </w:t>
      </w:r>
      <w:proofErr w:type="gramStart"/>
      <w:r w:rsidRPr="00006865">
        <w:rPr>
          <w:rFonts w:ascii="Garamond" w:hAnsi="Garamond"/>
          <w:lang w:val="en-GB"/>
        </w:rPr>
        <w:t>the majority of</w:t>
      </w:r>
      <w:proofErr w:type="gramEnd"/>
      <w:r w:rsidRPr="00006865">
        <w:rPr>
          <w:rFonts w:ascii="Garamond" w:hAnsi="Garamond"/>
          <w:lang w:val="en-GB"/>
        </w:rPr>
        <w:t xml:space="preserve"> household heads were self-employed, </w:t>
      </w:r>
      <w:r w:rsidR="00DC4FB6">
        <w:rPr>
          <w:rFonts w:ascii="Garamond" w:hAnsi="Garamond"/>
          <w:lang w:val="en-GB"/>
        </w:rPr>
        <w:t>with a predominant engagement</w:t>
      </w:r>
      <w:r w:rsidRPr="00006865">
        <w:rPr>
          <w:rFonts w:ascii="Garamond" w:hAnsi="Garamond"/>
          <w:lang w:val="en-GB"/>
        </w:rPr>
        <w:t xml:space="preserve"> in farming (41.0%) and trading (18.8%). Only 12.9% reported formal employment, while 13.2% were unemployed. Educational attainment was also variable: 46.8% of household heads reported no formal schooling, while 22.9% had secondary and 14.9% had higher education. This educational gradient plays a significant role in shaping access to and understanding of health interventions, as demonstrated by later findings on health service utilization.</w:t>
      </w:r>
    </w:p>
    <w:tbl>
      <w:tblPr>
        <w:tblW w:w="96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9"/>
        <w:gridCol w:w="1920"/>
        <w:gridCol w:w="2116"/>
        <w:gridCol w:w="1677"/>
      </w:tblGrid>
      <w:tr w:rsidR="005912CC" w:rsidRPr="005054B9" w14:paraId="3681A5AF" w14:textId="77777777" w:rsidTr="003405FD">
        <w:trPr>
          <w:trHeight w:val="285"/>
        </w:trPr>
        <w:tc>
          <w:tcPr>
            <w:tcW w:w="3899" w:type="dxa"/>
            <w:shd w:val="clear" w:color="auto" w:fill="auto"/>
            <w:noWrap/>
            <w:vAlign w:val="bottom"/>
          </w:tcPr>
          <w:p w14:paraId="16898061" w14:textId="77777777" w:rsidR="005912CC" w:rsidRPr="005054B9" w:rsidRDefault="005912CC" w:rsidP="005054B9">
            <w:pPr>
              <w:spacing w:after="0"/>
              <w:rPr>
                <w:rFonts w:ascii="Garamond" w:eastAsia="Times New Roman" w:hAnsi="Garamond" w:cs="Times New Roman"/>
                <w:b/>
                <w:bCs/>
                <w:color w:val="000000"/>
                <w:lang w:val="en-GB" w:eastAsia="en-GB"/>
              </w:rPr>
            </w:pPr>
          </w:p>
        </w:tc>
        <w:tc>
          <w:tcPr>
            <w:tcW w:w="5713" w:type="dxa"/>
            <w:gridSpan w:val="3"/>
            <w:shd w:val="clear" w:color="auto" w:fill="auto"/>
            <w:noWrap/>
            <w:vAlign w:val="bottom"/>
          </w:tcPr>
          <w:p w14:paraId="407A7FB2" w14:textId="53A73D16" w:rsidR="005912CC" w:rsidRPr="005054B9" w:rsidRDefault="005912CC" w:rsidP="005912CC">
            <w:pPr>
              <w:spacing w:after="0"/>
              <w:jc w:val="center"/>
              <w:rPr>
                <w:rFonts w:ascii="Garamond" w:eastAsia="Times New Roman" w:hAnsi="Garamond" w:cs="Times New Roman"/>
                <w:b/>
                <w:bCs/>
                <w:color w:val="000000"/>
                <w:lang w:val="en-GB" w:eastAsia="en-GB"/>
              </w:rPr>
            </w:pPr>
            <w:r>
              <w:rPr>
                <w:rFonts w:ascii="Garamond" w:eastAsia="Times New Roman" w:hAnsi="Garamond" w:cs="Times New Roman"/>
                <w:b/>
                <w:bCs/>
                <w:color w:val="000000"/>
                <w:lang w:val="en-GB" w:eastAsia="en-GB"/>
              </w:rPr>
              <w:t>Vitamin A</w:t>
            </w:r>
          </w:p>
        </w:tc>
      </w:tr>
      <w:tr w:rsidR="005054B9" w:rsidRPr="005054B9" w14:paraId="343A3D2E" w14:textId="77777777" w:rsidTr="005912CC">
        <w:trPr>
          <w:trHeight w:val="285"/>
        </w:trPr>
        <w:tc>
          <w:tcPr>
            <w:tcW w:w="3899" w:type="dxa"/>
            <w:shd w:val="clear" w:color="auto" w:fill="auto"/>
            <w:noWrap/>
            <w:vAlign w:val="bottom"/>
            <w:hideMark/>
          </w:tcPr>
          <w:p w14:paraId="4C836872" w14:textId="77777777" w:rsidR="005054B9" w:rsidRPr="005054B9" w:rsidRDefault="005054B9" w:rsidP="005054B9">
            <w:pPr>
              <w:spacing w:after="0"/>
              <w:rPr>
                <w:rFonts w:ascii="Garamond" w:eastAsia="Times New Roman" w:hAnsi="Garamond" w:cs="Times New Roman"/>
                <w:b/>
                <w:bCs/>
                <w:color w:val="000000"/>
                <w:lang w:val="en-GB" w:eastAsia="en-GB"/>
              </w:rPr>
            </w:pPr>
            <w:r w:rsidRPr="005054B9">
              <w:rPr>
                <w:rFonts w:ascii="Garamond" w:eastAsia="Times New Roman" w:hAnsi="Garamond" w:cs="Times New Roman"/>
                <w:b/>
                <w:bCs/>
                <w:color w:val="000000"/>
                <w:lang w:val="en-GB" w:eastAsia="en-GB"/>
              </w:rPr>
              <w:t>Characteristics</w:t>
            </w:r>
          </w:p>
        </w:tc>
        <w:tc>
          <w:tcPr>
            <w:tcW w:w="1920" w:type="dxa"/>
            <w:shd w:val="clear" w:color="auto" w:fill="auto"/>
            <w:noWrap/>
            <w:vAlign w:val="bottom"/>
            <w:hideMark/>
          </w:tcPr>
          <w:p w14:paraId="684AC50A" w14:textId="77777777" w:rsidR="005054B9" w:rsidRPr="005054B9" w:rsidRDefault="005054B9" w:rsidP="005054B9">
            <w:pPr>
              <w:spacing w:after="0"/>
              <w:rPr>
                <w:rFonts w:ascii="Garamond" w:eastAsia="Times New Roman" w:hAnsi="Garamond" w:cs="Times New Roman"/>
                <w:b/>
                <w:bCs/>
                <w:color w:val="000000"/>
                <w:lang w:val="en-GB" w:eastAsia="en-GB"/>
              </w:rPr>
            </w:pPr>
            <w:r w:rsidRPr="005054B9">
              <w:rPr>
                <w:rFonts w:ascii="Garamond" w:eastAsia="Times New Roman" w:hAnsi="Garamond" w:cs="Times New Roman"/>
                <w:b/>
                <w:bCs/>
                <w:color w:val="000000"/>
                <w:lang w:val="en-GB" w:eastAsia="en-GB"/>
              </w:rPr>
              <w:t>No (%)</w:t>
            </w:r>
          </w:p>
        </w:tc>
        <w:tc>
          <w:tcPr>
            <w:tcW w:w="2116" w:type="dxa"/>
            <w:shd w:val="clear" w:color="auto" w:fill="auto"/>
            <w:noWrap/>
            <w:vAlign w:val="bottom"/>
            <w:hideMark/>
          </w:tcPr>
          <w:p w14:paraId="1775F27E" w14:textId="77777777" w:rsidR="005054B9" w:rsidRPr="005054B9" w:rsidRDefault="005054B9" w:rsidP="005054B9">
            <w:pPr>
              <w:spacing w:after="0"/>
              <w:rPr>
                <w:rFonts w:ascii="Garamond" w:eastAsia="Times New Roman" w:hAnsi="Garamond" w:cs="Times New Roman"/>
                <w:b/>
                <w:bCs/>
                <w:color w:val="000000"/>
                <w:lang w:val="en-GB" w:eastAsia="en-GB"/>
              </w:rPr>
            </w:pPr>
            <w:r w:rsidRPr="005054B9">
              <w:rPr>
                <w:rFonts w:ascii="Garamond" w:eastAsia="Times New Roman" w:hAnsi="Garamond" w:cs="Times New Roman"/>
                <w:b/>
                <w:bCs/>
                <w:color w:val="000000"/>
                <w:lang w:val="en-GB" w:eastAsia="en-GB"/>
              </w:rPr>
              <w:t>Yes (%)</w:t>
            </w:r>
          </w:p>
        </w:tc>
        <w:tc>
          <w:tcPr>
            <w:tcW w:w="1677" w:type="dxa"/>
            <w:shd w:val="clear" w:color="auto" w:fill="auto"/>
            <w:noWrap/>
            <w:vAlign w:val="bottom"/>
            <w:hideMark/>
          </w:tcPr>
          <w:p w14:paraId="22E487CB" w14:textId="77777777" w:rsidR="005054B9" w:rsidRPr="005054B9" w:rsidRDefault="005054B9" w:rsidP="005054B9">
            <w:pPr>
              <w:spacing w:after="0"/>
              <w:rPr>
                <w:rFonts w:ascii="Garamond" w:eastAsia="Times New Roman" w:hAnsi="Garamond" w:cs="Times New Roman"/>
                <w:b/>
                <w:bCs/>
                <w:color w:val="000000"/>
                <w:lang w:val="en-GB" w:eastAsia="en-GB"/>
              </w:rPr>
            </w:pPr>
            <w:r w:rsidRPr="005054B9">
              <w:rPr>
                <w:rFonts w:ascii="Garamond" w:eastAsia="Times New Roman" w:hAnsi="Garamond" w:cs="Times New Roman"/>
                <w:b/>
                <w:bCs/>
                <w:color w:val="000000"/>
                <w:lang w:val="en-GB" w:eastAsia="en-GB"/>
              </w:rPr>
              <w:t>P-value</w:t>
            </w:r>
          </w:p>
        </w:tc>
      </w:tr>
      <w:tr w:rsidR="005054B9" w:rsidRPr="005054B9" w14:paraId="73628E96" w14:textId="77777777" w:rsidTr="005912CC">
        <w:trPr>
          <w:trHeight w:val="285"/>
        </w:trPr>
        <w:tc>
          <w:tcPr>
            <w:tcW w:w="5819" w:type="dxa"/>
            <w:gridSpan w:val="2"/>
            <w:shd w:val="clear" w:color="auto" w:fill="auto"/>
            <w:noWrap/>
            <w:vAlign w:val="bottom"/>
            <w:hideMark/>
          </w:tcPr>
          <w:p w14:paraId="3949DDA9"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 xml:space="preserve">Childs </w:t>
            </w:r>
            <w:proofErr w:type="spellStart"/>
            <w:r w:rsidRPr="005054B9">
              <w:rPr>
                <w:rFonts w:ascii="Garamond" w:eastAsia="Times New Roman" w:hAnsi="Garamond" w:cs="Times New Roman"/>
                <w:color w:val="000000"/>
                <w:lang w:val="en-GB" w:eastAsia="en-GB"/>
              </w:rPr>
              <w:t>age_months</w:t>
            </w:r>
            <w:proofErr w:type="spellEnd"/>
          </w:p>
        </w:tc>
        <w:tc>
          <w:tcPr>
            <w:tcW w:w="2116" w:type="dxa"/>
            <w:shd w:val="clear" w:color="auto" w:fill="auto"/>
            <w:noWrap/>
            <w:vAlign w:val="bottom"/>
            <w:hideMark/>
          </w:tcPr>
          <w:p w14:paraId="61C96EF7" w14:textId="77777777" w:rsidR="005054B9" w:rsidRPr="005054B9" w:rsidRDefault="005054B9" w:rsidP="005054B9">
            <w:pPr>
              <w:spacing w:after="0"/>
              <w:rPr>
                <w:rFonts w:ascii="Garamond" w:eastAsia="Times New Roman" w:hAnsi="Garamond" w:cs="Times New Roman"/>
                <w:color w:val="000000"/>
                <w:lang w:val="en-GB" w:eastAsia="en-GB"/>
              </w:rPr>
            </w:pPr>
          </w:p>
        </w:tc>
        <w:tc>
          <w:tcPr>
            <w:tcW w:w="1677" w:type="dxa"/>
            <w:shd w:val="clear" w:color="auto" w:fill="auto"/>
            <w:noWrap/>
            <w:vAlign w:val="bottom"/>
            <w:hideMark/>
          </w:tcPr>
          <w:p w14:paraId="07B2DA04" w14:textId="77777777" w:rsidR="005054B9" w:rsidRPr="005054B9" w:rsidRDefault="005054B9" w:rsidP="005054B9">
            <w:pPr>
              <w:spacing w:after="0"/>
              <w:rPr>
                <w:rFonts w:ascii="Garamond" w:eastAsia="Times New Roman" w:hAnsi="Garamond" w:cs="Times New Roman"/>
                <w:lang w:val="en-GB" w:eastAsia="en-GB"/>
              </w:rPr>
            </w:pPr>
          </w:p>
        </w:tc>
      </w:tr>
      <w:tr w:rsidR="005054B9" w:rsidRPr="005054B9" w14:paraId="574F2EFE" w14:textId="77777777" w:rsidTr="005912CC">
        <w:trPr>
          <w:trHeight w:val="285"/>
        </w:trPr>
        <w:tc>
          <w:tcPr>
            <w:tcW w:w="3899" w:type="dxa"/>
            <w:shd w:val="clear" w:color="auto" w:fill="auto"/>
            <w:noWrap/>
            <w:vAlign w:val="bottom"/>
            <w:hideMark/>
          </w:tcPr>
          <w:p w14:paraId="2705071B"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6-11 months</w:t>
            </w:r>
          </w:p>
        </w:tc>
        <w:tc>
          <w:tcPr>
            <w:tcW w:w="1920" w:type="dxa"/>
            <w:shd w:val="clear" w:color="auto" w:fill="auto"/>
            <w:noWrap/>
            <w:vAlign w:val="bottom"/>
            <w:hideMark/>
          </w:tcPr>
          <w:p w14:paraId="06EE5EF8"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67 (2.4%)</w:t>
            </w:r>
          </w:p>
        </w:tc>
        <w:tc>
          <w:tcPr>
            <w:tcW w:w="2116" w:type="dxa"/>
            <w:shd w:val="clear" w:color="auto" w:fill="auto"/>
            <w:noWrap/>
            <w:vAlign w:val="bottom"/>
            <w:hideMark/>
          </w:tcPr>
          <w:p w14:paraId="01BE0080"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143 (5.1%)</w:t>
            </w:r>
          </w:p>
        </w:tc>
        <w:tc>
          <w:tcPr>
            <w:tcW w:w="1677" w:type="dxa"/>
            <w:shd w:val="clear" w:color="auto" w:fill="auto"/>
            <w:noWrap/>
            <w:vAlign w:val="bottom"/>
            <w:hideMark/>
          </w:tcPr>
          <w:p w14:paraId="7125EF03" w14:textId="77777777" w:rsidR="005054B9" w:rsidRPr="005054B9" w:rsidRDefault="005054B9" w:rsidP="005054B9">
            <w:pPr>
              <w:spacing w:after="0"/>
              <w:jc w:val="right"/>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0</w:t>
            </w:r>
          </w:p>
        </w:tc>
      </w:tr>
      <w:tr w:rsidR="005054B9" w:rsidRPr="005054B9" w14:paraId="2E9FB9A0" w14:textId="77777777" w:rsidTr="005054B9">
        <w:trPr>
          <w:trHeight w:val="285"/>
        </w:trPr>
        <w:tc>
          <w:tcPr>
            <w:tcW w:w="3899" w:type="dxa"/>
            <w:shd w:val="clear" w:color="auto" w:fill="auto"/>
            <w:noWrap/>
            <w:vAlign w:val="bottom"/>
            <w:hideMark/>
          </w:tcPr>
          <w:p w14:paraId="13CA9C38"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12-59 months</w:t>
            </w:r>
          </w:p>
        </w:tc>
        <w:tc>
          <w:tcPr>
            <w:tcW w:w="1920" w:type="dxa"/>
            <w:shd w:val="clear" w:color="auto" w:fill="auto"/>
            <w:noWrap/>
            <w:vAlign w:val="bottom"/>
            <w:hideMark/>
          </w:tcPr>
          <w:p w14:paraId="5ED7D0EE"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362 (12.9%)</w:t>
            </w:r>
          </w:p>
        </w:tc>
        <w:tc>
          <w:tcPr>
            <w:tcW w:w="3793" w:type="dxa"/>
            <w:gridSpan w:val="2"/>
            <w:shd w:val="clear" w:color="auto" w:fill="auto"/>
            <w:noWrap/>
            <w:vAlign w:val="bottom"/>
            <w:hideMark/>
          </w:tcPr>
          <w:p w14:paraId="18772A55"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2243 (79.7%)</w:t>
            </w:r>
          </w:p>
        </w:tc>
      </w:tr>
      <w:tr w:rsidR="005054B9" w:rsidRPr="005054B9" w14:paraId="754922DB" w14:textId="77777777" w:rsidTr="005912CC">
        <w:trPr>
          <w:trHeight w:val="285"/>
        </w:trPr>
        <w:tc>
          <w:tcPr>
            <w:tcW w:w="5819" w:type="dxa"/>
            <w:gridSpan w:val="2"/>
            <w:shd w:val="clear" w:color="auto" w:fill="auto"/>
            <w:noWrap/>
            <w:vAlign w:val="bottom"/>
            <w:hideMark/>
          </w:tcPr>
          <w:p w14:paraId="40A0F230" w14:textId="77777777" w:rsidR="005054B9" w:rsidRPr="005054B9" w:rsidRDefault="005054B9" w:rsidP="005054B9">
            <w:pPr>
              <w:spacing w:after="0"/>
              <w:rPr>
                <w:rFonts w:ascii="Garamond" w:eastAsia="Times New Roman" w:hAnsi="Garamond" w:cs="Times New Roman"/>
                <w:b/>
                <w:bCs/>
                <w:color w:val="000000"/>
                <w:lang w:val="en-GB" w:eastAsia="en-GB"/>
              </w:rPr>
            </w:pPr>
            <w:r w:rsidRPr="005054B9">
              <w:rPr>
                <w:rFonts w:ascii="Garamond" w:eastAsia="Times New Roman" w:hAnsi="Garamond" w:cs="Times New Roman"/>
                <w:b/>
                <w:bCs/>
                <w:color w:val="000000"/>
                <w:lang w:val="en-GB" w:eastAsia="en-GB"/>
              </w:rPr>
              <w:t>Childs Sex</w:t>
            </w:r>
          </w:p>
        </w:tc>
        <w:tc>
          <w:tcPr>
            <w:tcW w:w="2116" w:type="dxa"/>
            <w:shd w:val="clear" w:color="auto" w:fill="auto"/>
            <w:noWrap/>
            <w:vAlign w:val="bottom"/>
            <w:hideMark/>
          </w:tcPr>
          <w:p w14:paraId="7977E4B7" w14:textId="77777777" w:rsidR="005054B9" w:rsidRPr="005054B9" w:rsidRDefault="005054B9" w:rsidP="005054B9">
            <w:pPr>
              <w:spacing w:after="0"/>
              <w:rPr>
                <w:rFonts w:ascii="Garamond" w:eastAsia="Times New Roman" w:hAnsi="Garamond" w:cs="Times New Roman"/>
                <w:b/>
                <w:bCs/>
                <w:color w:val="000000"/>
                <w:lang w:val="en-GB" w:eastAsia="en-GB"/>
              </w:rPr>
            </w:pPr>
          </w:p>
        </w:tc>
        <w:tc>
          <w:tcPr>
            <w:tcW w:w="1677" w:type="dxa"/>
            <w:shd w:val="clear" w:color="auto" w:fill="auto"/>
            <w:noWrap/>
            <w:vAlign w:val="bottom"/>
            <w:hideMark/>
          </w:tcPr>
          <w:p w14:paraId="078E330D" w14:textId="77777777" w:rsidR="005054B9" w:rsidRPr="005054B9" w:rsidRDefault="005054B9" w:rsidP="005054B9">
            <w:pPr>
              <w:spacing w:after="0"/>
              <w:rPr>
                <w:rFonts w:ascii="Garamond" w:eastAsia="Times New Roman" w:hAnsi="Garamond" w:cs="Times New Roman"/>
                <w:b/>
                <w:bCs/>
                <w:lang w:val="en-GB" w:eastAsia="en-GB"/>
              </w:rPr>
            </w:pPr>
          </w:p>
        </w:tc>
      </w:tr>
      <w:tr w:rsidR="005054B9" w:rsidRPr="005054B9" w14:paraId="53D63021" w14:textId="77777777" w:rsidTr="005912CC">
        <w:trPr>
          <w:trHeight w:val="285"/>
        </w:trPr>
        <w:tc>
          <w:tcPr>
            <w:tcW w:w="3899" w:type="dxa"/>
            <w:shd w:val="clear" w:color="auto" w:fill="auto"/>
            <w:noWrap/>
            <w:vAlign w:val="bottom"/>
            <w:hideMark/>
          </w:tcPr>
          <w:p w14:paraId="11CB210D"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Female</w:t>
            </w:r>
          </w:p>
        </w:tc>
        <w:tc>
          <w:tcPr>
            <w:tcW w:w="1920" w:type="dxa"/>
            <w:shd w:val="clear" w:color="auto" w:fill="auto"/>
            <w:noWrap/>
            <w:vAlign w:val="bottom"/>
            <w:hideMark/>
          </w:tcPr>
          <w:p w14:paraId="38BF9C02"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212 (7.5%)</w:t>
            </w:r>
          </w:p>
        </w:tc>
        <w:tc>
          <w:tcPr>
            <w:tcW w:w="2116" w:type="dxa"/>
            <w:shd w:val="clear" w:color="auto" w:fill="auto"/>
            <w:noWrap/>
            <w:vAlign w:val="bottom"/>
            <w:hideMark/>
          </w:tcPr>
          <w:p w14:paraId="29D0B99E"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1164 (41.3%)</w:t>
            </w:r>
          </w:p>
        </w:tc>
        <w:tc>
          <w:tcPr>
            <w:tcW w:w="1677" w:type="dxa"/>
            <w:shd w:val="clear" w:color="auto" w:fill="auto"/>
            <w:noWrap/>
            <w:vAlign w:val="bottom"/>
            <w:hideMark/>
          </w:tcPr>
          <w:p w14:paraId="476DA16A" w14:textId="77777777" w:rsidR="005054B9" w:rsidRPr="005054B9" w:rsidRDefault="005054B9" w:rsidP="005054B9">
            <w:pPr>
              <w:spacing w:after="0"/>
              <w:jc w:val="right"/>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0.8502</w:t>
            </w:r>
          </w:p>
        </w:tc>
      </w:tr>
      <w:tr w:rsidR="005054B9" w:rsidRPr="005054B9" w14:paraId="43A474F9" w14:textId="77777777" w:rsidTr="005054B9">
        <w:trPr>
          <w:trHeight w:val="285"/>
        </w:trPr>
        <w:tc>
          <w:tcPr>
            <w:tcW w:w="3899" w:type="dxa"/>
            <w:shd w:val="clear" w:color="auto" w:fill="auto"/>
            <w:noWrap/>
            <w:vAlign w:val="bottom"/>
            <w:hideMark/>
          </w:tcPr>
          <w:p w14:paraId="5B014CE9"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Male</w:t>
            </w:r>
          </w:p>
        </w:tc>
        <w:tc>
          <w:tcPr>
            <w:tcW w:w="1920" w:type="dxa"/>
            <w:shd w:val="clear" w:color="auto" w:fill="auto"/>
            <w:noWrap/>
            <w:vAlign w:val="bottom"/>
            <w:hideMark/>
          </w:tcPr>
          <w:p w14:paraId="5BF06833"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217 (7.7%)</w:t>
            </w:r>
          </w:p>
        </w:tc>
        <w:tc>
          <w:tcPr>
            <w:tcW w:w="3793" w:type="dxa"/>
            <w:gridSpan w:val="2"/>
            <w:shd w:val="clear" w:color="auto" w:fill="auto"/>
            <w:noWrap/>
            <w:vAlign w:val="bottom"/>
            <w:hideMark/>
          </w:tcPr>
          <w:p w14:paraId="30DA5966"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1222 (43.4%)</w:t>
            </w:r>
          </w:p>
        </w:tc>
      </w:tr>
      <w:tr w:rsidR="005054B9" w:rsidRPr="005054B9" w14:paraId="6A768456" w14:textId="77777777" w:rsidTr="005912CC">
        <w:trPr>
          <w:trHeight w:val="285"/>
        </w:trPr>
        <w:tc>
          <w:tcPr>
            <w:tcW w:w="5819" w:type="dxa"/>
            <w:gridSpan w:val="2"/>
            <w:shd w:val="clear" w:color="auto" w:fill="auto"/>
            <w:noWrap/>
            <w:vAlign w:val="bottom"/>
            <w:hideMark/>
          </w:tcPr>
          <w:p w14:paraId="172842E9" w14:textId="77777777" w:rsidR="005054B9" w:rsidRPr="005054B9" w:rsidRDefault="005054B9" w:rsidP="005054B9">
            <w:pPr>
              <w:spacing w:after="0"/>
              <w:rPr>
                <w:rFonts w:ascii="Garamond" w:eastAsia="Times New Roman" w:hAnsi="Garamond" w:cs="Times New Roman"/>
                <w:b/>
                <w:bCs/>
                <w:color w:val="000000"/>
                <w:lang w:val="en-GB" w:eastAsia="en-GB"/>
              </w:rPr>
            </w:pPr>
            <w:r w:rsidRPr="005054B9">
              <w:rPr>
                <w:rFonts w:ascii="Garamond" w:eastAsia="Times New Roman" w:hAnsi="Garamond" w:cs="Times New Roman"/>
                <w:b/>
                <w:bCs/>
                <w:color w:val="000000"/>
                <w:lang w:val="en-GB" w:eastAsia="en-GB"/>
              </w:rPr>
              <w:t>Caregiver sex</w:t>
            </w:r>
          </w:p>
        </w:tc>
        <w:tc>
          <w:tcPr>
            <w:tcW w:w="2116" w:type="dxa"/>
            <w:shd w:val="clear" w:color="auto" w:fill="auto"/>
            <w:noWrap/>
            <w:vAlign w:val="bottom"/>
            <w:hideMark/>
          </w:tcPr>
          <w:p w14:paraId="7E9B9EEF" w14:textId="77777777" w:rsidR="005054B9" w:rsidRPr="005054B9" w:rsidRDefault="005054B9" w:rsidP="005054B9">
            <w:pPr>
              <w:spacing w:after="0"/>
              <w:rPr>
                <w:rFonts w:ascii="Garamond" w:eastAsia="Times New Roman" w:hAnsi="Garamond" w:cs="Times New Roman"/>
                <w:b/>
                <w:bCs/>
                <w:color w:val="000000"/>
                <w:lang w:val="en-GB" w:eastAsia="en-GB"/>
              </w:rPr>
            </w:pPr>
          </w:p>
        </w:tc>
        <w:tc>
          <w:tcPr>
            <w:tcW w:w="1677" w:type="dxa"/>
            <w:shd w:val="clear" w:color="auto" w:fill="auto"/>
            <w:noWrap/>
            <w:vAlign w:val="bottom"/>
            <w:hideMark/>
          </w:tcPr>
          <w:p w14:paraId="332D432B" w14:textId="77777777" w:rsidR="005054B9" w:rsidRPr="005054B9" w:rsidRDefault="005054B9" w:rsidP="005054B9">
            <w:pPr>
              <w:spacing w:after="0"/>
              <w:rPr>
                <w:rFonts w:ascii="Garamond" w:eastAsia="Times New Roman" w:hAnsi="Garamond" w:cs="Times New Roman"/>
                <w:b/>
                <w:bCs/>
                <w:lang w:val="en-GB" w:eastAsia="en-GB"/>
              </w:rPr>
            </w:pPr>
          </w:p>
        </w:tc>
      </w:tr>
      <w:tr w:rsidR="005054B9" w:rsidRPr="005054B9" w14:paraId="3E1DF3DC" w14:textId="77777777" w:rsidTr="005912CC">
        <w:trPr>
          <w:trHeight w:val="285"/>
        </w:trPr>
        <w:tc>
          <w:tcPr>
            <w:tcW w:w="3899" w:type="dxa"/>
            <w:shd w:val="clear" w:color="auto" w:fill="auto"/>
            <w:noWrap/>
            <w:vAlign w:val="bottom"/>
            <w:hideMark/>
          </w:tcPr>
          <w:p w14:paraId="5FBFCE87"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Female</w:t>
            </w:r>
          </w:p>
        </w:tc>
        <w:tc>
          <w:tcPr>
            <w:tcW w:w="1920" w:type="dxa"/>
            <w:shd w:val="clear" w:color="auto" w:fill="auto"/>
            <w:noWrap/>
            <w:vAlign w:val="bottom"/>
            <w:hideMark/>
          </w:tcPr>
          <w:p w14:paraId="5C62F179"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423 (15.0%)</w:t>
            </w:r>
          </w:p>
        </w:tc>
        <w:tc>
          <w:tcPr>
            <w:tcW w:w="2116" w:type="dxa"/>
            <w:shd w:val="clear" w:color="auto" w:fill="auto"/>
            <w:noWrap/>
            <w:vAlign w:val="bottom"/>
            <w:hideMark/>
          </w:tcPr>
          <w:p w14:paraId="5AD6A664"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2272 (80.7%)</w:t>
            </w:r>
          </w:p>
        </w:tc>
        <w:tc>
          <w:tcPr>
            <w:tcW w:w="1677" w:type="dxa"/>
            <w:shd w:val="clear" w:color="auto" w:fill="auto"/>
            <w:noWrap/>
            <w:vAlign w:val="bottom"/>
            <w:hideMark/>
          </w:tcPr>
          <w:p w14:paraId="77BA38B2" w14:textId="77777777" w:rsidR="005054B9" w:rsidRPr="005054B9" w:rsidRDefault="005054B9" w:rsidP="005054B9">
            <w:pPr>
              <w:spacing w:after="0"/>
              <w:jc w:val="right"/>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0.0022</w:t>
            </w:r>
          </w:p>
        </w:tc>
      </w:tr>
      <w:tr w:rsidR="005054B9" w:rsidRPr="005054B9" w14:paraId="64ECA140" w14:textId="77777777" w:rsidTr="005054B9">
        <w:trPr>
          <w:trHeight w:val="285"/>
        </w:trPr>
        <w:tc>
          <w:tcPr>
            <w:tcW w:w="3899" w:type="dxa"/>
            <w:shd w:val="clear" w:color="auto" w:fill="auto"/>
            <w:noWrap/>
            <w:vAlign w:val="bottom"/>
            <w:hideMark/>
          </w:tcPr>
          <w:p w14:paraId="1E2107AE"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Male</w:t>
            </w:r>
          </w:p>
        </w:tc>
        <w:tc>
          <w:tcPr>
            <w:tcW w:w="1920" w:type="dxa"/>
            <w:shd w:val="clear" w:color="auto" w:fill="auto"/>
            <w:noWrap/>
            <w:vAlign w:val="bottom"/>
            <w:hideMark/>
          </w:tcPr>
          <w:p w14:paraId="74305FFF"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6 (0.2%)</w:t>
            </w:r>
          </w:p>
        </w:tc>
        <w:tc>
          <w:tcPr>
            <w:tcW w:w="3793" w:type="dxa"/>
            <w:gridSpan w:val="2"/>
            <w:shd w:val="clear" w:color="auto" w:fill="auto"/>
            <w:noWrap/>
            <w:vAlign w:val="bottom"/>
            <w:hideMark/>
          </w:tcPr>
          <w:p w14:paraId="7EDFA5E8"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114 (4.0%)</w:t>
            </w:r>
          </w:p>
        </w:tc>
      </w:tr>
      <w:tr w:rsidR="005054B9" w:rsidRPr="005054B9" w14:paraId="15937A2B" w14:textId="77777777" w:rsidTr="005054B9">
        <w:trPr>
          <w:trHeight w:val="285"/>
        </w:trPr>
        <w:tc>
          <w:tcPr>
            <w:tcW w:w="7935" w:type="dxa"/>
            <w:gridSpan w:val="3"/>
            <w:shd w:val="clear" w:color="auto" w:fill="auto"/>
            <w:noWrap/>
            <w:vAlign w:val="bottom"/>
            <w:hideMark/>
          </w:tcPr>
          <w:p w14:paraId="64F30AB6" w14:textId="77777777" w:rsidR="005054B9" w:rsidRPr="005054B9" w:rsidRDefault="005054B9" w:rsidP="005054B9">
            <w:pPr>
              <w:spacing w:after="0"/>
              <w:rPr>
                <w:rFonts w:ascii="Garamond" w:eastAsia="Times New Roman" w:hAnsi="Garamond" w:cs="Times New Roman"/>
                <w:b/>
                <w:bCs/>
                <w:color w:val="000000"/>
                <w:lang w:val="en-GB" w:eastAsia="en-GB"/>
              </w:rPr>
            </w:pPr>
            <w:r w:rsidRPr="005054B9">
              <w:rPr>
                <w:rFonts w:ascii="Garamond" w:eastAsia="Times New Roman" w:hAnsi="Garamond" w:cs="Times New Roman"/>
                <w:b/>
                <w:bCs/>
                <w:color w:val="000000"/>
                <w:lang w:val="en-GB" w:eastAsia="en-GB"/>
              </w:rPr>
              <w:t>Caregiver marital status</w:t>
            </w:r>
          </w:p>
        </w:tc>
        <w:tc>
          <w:tcPr>
            <w:tcW w:w="1677" w:type="dxa"/>
            <w:shd w:val="clear" w:color="auto" w:fill="auto"/>
            <w:noWrap/>
            <w:vAlign w:val="bottom"/>
            <w:hideMark/>
          </w:tcPr>
          <w:p w14:paraId="5AEEC8A0" w14:textId="77777777" w:rsidR="005054B9" w:rsidRPr="005054B9" w:rsidRDefault="005054B9" w:rsidP="005054B9">
            <w:pPr>
              <w:spacing w:after="0"/>
              <w:rPr>
                <w:rFonts w:ascii="Garamond" w:eastAsia="Times New Roman" w:hAnsi="Garamond" w:cs="Times New Roman"/>
                <w:b/>
                <w:bCs/>
                <w:color w:val="000000"/>
                <w:lang w:val="en-GB" w:eastAsia="en-GB"/>
              </w:rPr>
            </w:pPr>
          </w:p>
        </w:tc>
      </w:tr>
      <w:tr w:rsidR="005054B9" w:rsidRPr="005054B9" w14:paraId="553AD6FE" w14:textId="77777777" w:rsidTr="005912CC">
        <w:trPr>
          <w:trHeight w:val="285"/>
        </w:trPr>
        <w:tc>
          <w:tcPr>
            <w:tcW w:w="3899" w:type="dxa"/>
            <w:shd w:val="clear" w:color="auto" w:fill="auto"/>
            <w:noWrap/>
            <w:vAlign w:val="bottom"/>
            <w:hideMark/>
          </w:tcPr>
          <w:p w14:paraId="55C28781"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Divorced</w:t>
            </w:r>
          </w:p>
        </w:tc>
        <w:tc>
          <w:tcPr>
            <w:tcW w:w="1920" w:type="dxa"/>
            <w:shd w:val="clear" w:color="auto" w:fill="auto"/>
            <w:noWrap/>
            <w:vAlign w:val="bottom"/>
            <w:hideMark/>
          </w:tcPr>
          <w:p w14:paraId="22D54F6F"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8 (0.3%)</w:t>
            </w:r>
          </w:p>
        </w:tc>
        <w:tc>
          <w:tcPr>
            <w:tcW w:w="2116" w:type="dxa"/>
            <w:shd w:val="clear" w:color="auto" w:fill="auto"/>
            <w:noWrap/>
            <w:vAlign w:val="bottom"/>
            <w:hideMark/>
          </w:tcPr>
          <w:p w14:paraId="6C551A8E"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12 (0.4%)</w:t>
            </w:r>
          </w:p>
        </w:tc>
        <w:tc>
          <w:tcPr>
            <w:tcW w:w="1677" w:type="dxa"/>
            <w:shd w:val="clear" w:color="auto" w:fill="auto"/>
            <w:noWrap/>
            <w:vAlign w:val="bottom"/>
            <w:hideMark/>
          </w:tcPr>
          <w:p w14:paraId="17E8B37F" w14:textId="77777777" w:rsidR="005054B9" w:rsidRPr="005054B9" w:rsidRDefault="005054B9" w:rsidP="005054B9">
            <w:pPr>
              <w:spacing w:after="0"/>
              <w:jc w:val="right"/>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0.0182</w:t>
            </w:r>
          </w:p>
        </w:tc>
      </w:tr>
      <w:tr w:rsidR="005054B9" w:rsidRPr="005054B9" w14:paraId="3E9F303E" w14:textId="77777777" w:rsidTr="005054B9">
        <w:trPr>
          <w:trHeight w:val="285"/>
        </w:trPr>
        <w:tc>
          <w:tcPr>
            <w:tcW w:w="3899" w:type="dxa"/>
            <w:shd w:val="clear" w:color="auto" w:fill="auto"/>
            <w:noWrap/>
            <w:vAlign w:val="bottom"/>
            <w:hideMark/>
          </w:tcPr>
          <w:p w14:paraId="4D56AF88"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Married</w:t>
            </w:r>
          </w:p>
        </w:tc>
        <w:tc>
          <w:tcPr>
            <w:tcW w:w="1920" w:type="dxa"/>
            <w:shd w:val="clear" w:color="auto" w:fill="auto"/>
            <w:noWrap/>
            <w:vAlign w:val="bottom"/>
            <w:hideMark/>
          </w:tcPr>
          <w:p w14:paraId="1198C568"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417 (14.8%)</w:t>
            </w:r>
          </w:p>
        </w:tc>
        <w:tc>
          <w:tcPr>
            <w:tcW w:w="3793" w:type="dxa"/>
            <w:gridSpan w:val="2"/>
            <w:shd w:val="clear" w:color="auto" w:fill="auto"/>
            <w:noWrap/>
            <w:vAlign w:val="bottom"/>
            <w:hideMark/>
          </w:tcPr>
          <w:p w14:paraId="2CD9E7D2"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2356 (83.7%)</w:t>
            </w:r>
          </w:p>
        </w:tc>
      </w:tr>
      <w:tr w:rsidR="005054B9" w:rsidRPr="005054B9" w14:paraId="7EAB3E89" w14:textId="77777777" w:rsidTr="005912CC">
        <w:trPr>
          <w:trHeight w:val="285"/>
        </w:trPr>
        <w:tc>
          <w:tcPr>
            <w:tcW w:w="3899" w:type="dxa"/>
            <w:shd w:val="clear" w:color="auto" w:fill="auto"/>
            <w:noWrap/>
            <w:vAlign w:val="bottom"/>
            <w:hideMark/>
          </w:tcPr>
          <w:p w14:paraId="7C0A82E7"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Single</w:t>
            </w:r>
          </w:p>
        </w:tc>
        <w:tc>
          <w:tcPr>
            <w:tcW w:w="1920" w:type="dxa"/>
            <w:shd w:val="clear" w:color="auto" w:fill="auto"/>
            <w:noWrap/>
            <w:vAlign w:val="bottom"/>
            <w:hideMark/>
          </w:tcPr>
          <w:p w14:paraId="3A4CC397"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 (0.0%)</w:t>
            </w:r>
          </w:p>
        </w:tc>
        <w:tc>
          <w:tcPr>
            <w:tcW w:w="2116" w:type="dxa"/>
            <w:shd w:val="clear" w:color="auto" w:fill="auto"/>
            <w:noWrap/>
            <w:vAlign w:val="bottom"/>
            <w:hideMark/>
          </w:tcPr>
          <w:p w14:paraId="2DF85272"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7 (0.2%)</w:t>
            </w:r>
          </w:p>
        </w:tc>
        <w:tc>
          <w:tcPr>
            <w:tcW w:w="1677" w:type="dxa"/>
            <w:shd w:val="clear" w:color="auto" w:fill="auto"/>
            <w:noWrap/>
            <w:vAlign w:val="bottom"/>
            <w:hideMark/>
          </w:tcPr>
          <w:p w14:paraId="2A7FAA0B" w14:textId="77777777" w:rsidR="005054B9" w:rsidRPr="005054B9" w:rsidRDefault="005054B9" w:rsidP="005054B9">
            <w:pPr>
              <w:spacing w:after="0"/>
              <w:rPr>
                <w:rFonts w:ascii="Garamond" w:eastAsia="Times New Roman" w:hAnsi="Garamond" w:cs="Times New Roman"/>
                <w:color w:val="000000"/>
                <w:lang w:val="en-GB" w:eastAsia="en-GB"/>
              </w:rPr>
            </w:pPr>
          </w:p>
        </w:tc>
      </w:tr>
      <w:tr w:rsidR="005054B9" w:rsidRPr="005054B9" w14:paraId="10BA30A6" w14:textId="77777777" w:rsidTr="005912CC">
        <w:trPr>
          <w:trHeight w:val="285"/>
        </w:trPr>
        <w:tc>
          <w:tcPr>
            <w:tcW w:w="3899" w:type="dxa"/>
            <w:shd w:val="clear" w:color="auto" w:fill="auto"/>
            <w:noWrap/>
            <w:vAlign w:val="bottom"/>
            <w:hideMark/>
          </w:tcPr>
          <w:p w14:paraId="0A8B061C"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Widowed</w:t>
            </w:r>
          </w:p>
        </w:tc>
        <w:tc>
          <w:tcPr>
            <w:tcW w:w="1920" w:type="dxa"/>
            <w:shd w:val="clear" w:color="auto" w:fill="auto"/>
            <w:noWrap/>
            <w:vAlign w:val="bottom"/>
            <w:hideMark/>
          </w:tcPr>
          <w:p w14:paraId="127608DC"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3 (0.1%)</w:t>
            </w:r>
          </w:p>
        </w:tc>
        <w:tc>
          <w:tcPr>
            <w:tcW w:w="2116" w:type="dxa"/>
            <w:shd w:val="clear" w:color="auto" w:fill="auto"/>
            <w:noWrap/>
            <w:vAlign w:val="bottom"/>
            <w:hideMark/>
          </w:tcPr>
          <w:p w14:paraId="553EAB99"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11 (0.4%)</w:t>
            </w:r>
          </w:p>
        </w:tc>
        <w:tc>
          <w:tcPr>
            <w:tcW w:w="1677" w:type="dxa"/>
            <w:shd w:val="clear" w:color="auto" w:fill="auto"/>
            <w:noWrap/>
            <w:vAlign w:val="bottom"/>
            <w:hideMark/>
          </w:tcPr>
          <w:p w14:paraId="6049F7F4" w14:textId="77777777" w:rsidR="005054B9" w:rsidRPr="005054B9" w:rsidRDefault="005054B9" w:rsidP="005054B9">
            <w:pPr>
              <w:spacing w:after="0"/>
              <w:rPr>
                <w:rFonts w:ascii="Garamond" w:eastAsia="Times New Roman" w:hAnsi="Garamond" w:cs="Times New Roman"/>
                <w:color w:val="000000"/>
                <w:lang w:val="en-GB" w:eastAsia="en-GB"/>
              </w:rPr>
            </w:pPr>
          </w:p>
        </w:tc>
      </w:tr>
      <w:tr w:rsidR="005054B9" w:rsidRPr="005054B9" w14:paraId="7DDEBF2B" w14:textId="77777777" w:rsidTr="005912CC">
        <w:trPr>
          <w:trHeight w:val="285"/>
        </w:trPr>
        <w:tc>
          <w:tcPr>
            <w:tcW w:w="5819" w:type="dxa"/>
            <w:gridSpan w:val="2"/>
            <w:shd w:val="clear" w:color="auto" w:fill="auto"/>
            <w:noWrap/>
            <w:vAlign w:val="bottom"/>
            <w:hideMark/>
          </w:tcPr>
          <w:p w14:paraId="51E8FE16" w14:textId="77777777" w:rsidR="005054B9" w:rsidRPr="005054B9" w:rsidRDefault="005054B9" w:rsidP="005054B9">
            <w:pPr>
              <w:spacing w:after="0"/>
              <w:rPr>
                <w:rFonts w:ascii="Garamond" w:eastAsia="Times New Roman" w:hAnsi="Garamond" w:cs="Times New Roman"/>
                <w:b/>
                <w:bCs/>
                <w:color w:val="000000"/>
                <w:lang w:val="en-GB" w:eastAsia="en-GB"/>
              </w:rPr>
            </w:pPr>
            <w:r w:rsidRPr="005054B9">
              <w:rPr>
                <w:rFonts w:ascii="Garamond" w:eastAsia="Times New Roman" w:hAnsi="Garamond" w:cs="Times New Roman"/>
                <w:b/>
                <w:bCs/>
                <w:color w:val="000000"/>
                <w:lang w:val="en-GB" w:eastAsia="en-GB"/>
              </w:rPr>
              <w:t>Caregiver religion</w:t>
            </w:r>
          </w:p>
        </w:tc>
        <w:tc>
          <w:tcPr>
            <w:tcW w:w="2116" w:type="dxa"/>
            <w:shd w:val="clear" w:color="auto" w:fill="auto"/>
            <w:noWrap/>
            <w:vAlign w:val="bottom"/>
            <w:hideMark/>
          </w:tcPr>
          <w:p w14:paraId="72686B27" w14:textId="77777777" w:rsidR="005054B9" w:rsidRPr="005054B9" w:rsidRDefault="005054B9" w:rsidP="005054B9">
            <w:pPr>
              <w:spacing w:after="0"/>
              <w:rPr>
                <w:rFonts w:ascii="Garamond" w:eastAsia="Times New Roman" w:hAnsi="Garamond" w:cs="Times New Roman"/>
                <w:b/>
                <w:bCs/>
                <w:color w:val="000000"/>
                <w:lang w:val="en-GB" w:eastAsia="en-GB"/>
              </w:rPr>
            </w:pPr>
          </w:p>
        </w:tc>
        <w:tc>
          <w:tcPr>
            <w:tcW w:w="1677" w:type="dxa"/>
            <w:shd w:val="clear" w:color="auto" w:fill="auto"/>
            <w:noWrap/>
            <w:vAlign w:val="bottom"/>
            <w:hideMark/>
          </w:tcPr>
          <w:p w14:paraId="2AE3BD37" w14:textId="77777777" w:rsidR="005054B9" w:rsidRPr="005054B9" w:rsidRDefault="005054B9" w:rsidP="005054B9">
            <w:pPr>
              <w:spacing w:after="0"/>
              <w:rPr>
                <w:rFonts w:ascii="Garamond" w:eastAsia="Times New Roman" w:hAnsi="Garamond" w:cs="Times New Roman"/>
                <w:b/>
                <w:bCs/>
                <w:lang w:val="en-GB" w:eastAsia="en-GB"/>
              </w:rPr>
            </w:pPr>
          </w:p>
        </w:tc>
      </w:tr>
      <w:tr w:rsidR="005054B9" w:rsidRPr="005054B9" w14:paraId="2220EF7B" w14:textId="77777777" w:rsidTr="005912CC">
        <w:trPr>
          <w:trHeight w:val="285"/>
        </w:trPr>
        <w:tc>
          <w:tcPr>
            <w:tcW w:w="3899" w:type="dxa"/>
            <w:shd w:val="clear" w:color="auto" w:fill="auto"/>
            <w:noWrap/>
            <w:vAlign w:val="bottom"/>
            <w:hideMark/>
          </w:tcPr>
          <w:p w14:paraId="6558CCCE"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Christianity</w:t>
            </w:r>
          </w:p>
        </w:tc>
        <w:tc>
          <w:tcPr>
            <w:tcW w:w="1920" w:type="dxa"/>
            <w:shd w:val="clear" w:color="auto" w:fill="auto"/>
            <w:noWrap/>
            <w:vAlign w:val="bottom"/>
            <w:hideMark/>
          </w:tcPr>
          <w:p w14:paraId="1AB5E22A"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17 (0.6%)</w:t>
            </w:r>
          </w:p>
        </w:tc>
        <w:tc>
          <w:tcPr>
            <w:tcW w:w="2116" w:type="dxa"/>
            <w:shd w:val="clear" w:color="auto" w:fill="auto"/>
            <w:noWrap/>
            <w:vAlign w:val="bottom"/>
            <w:hideMark/>
          </w:tcPr>
          <w:p w14:paraId="4EB22B3E"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172 (6.1%)</w:t>
            </w:r>
          </w:p>
        </w:tc>
        <w:tc>
          <w:tcPr>
            <w:tcW w:w="1677" w:type="dxa"/>
            <w:shd w:val="clear" w:color="auto" w:fill="auto"/>
            <w:noWrap/>
            <w:vAlign w:val="bottom"/>
            <w:hideMark/>
          </w:tcPr>
          <w:p w14:paraId="2431B607" w14:textId="77777777" w:rsidR="005054B9" w:rsidRPr="005054B9" w:rsidRDefault="005054B9" w:rsidP="005054B9">
            <w:pPr>
              <w:spacing w:after="0"/>
              <w:jc w:val="right"/>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0.0179</w:t>
            </w:r>
          </w:p>
        </w:tc>
      </w:tr>
      <w:tr w:rsidR="005054B9" w:rsidRPr="005054B9" w14:paraId="7A0198C1" w14:textId="77777777" w:rsidTr="005054B9">
        <w:trPr>
          <w:trHeight w:val="285"/>
        </w:trPr>
        <w:tc>
          <w:tcPr>
            <w:tcW w:w="3899" w:type="dxa"/>
            <w:shd w:val="clear" w:color="auto" w:fill="auto"/>
            <w:noWrap/>
            <w:vAlign w:val="bottom"/>
            <w:hideMark/>
          </w:tcPr>
          <w:p w14:paraId="648FF95A"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Islam</w:t>
            </w:r>
          </w:p>
        </w:tc>
        <w:tc>
          <w:tcPr>
            <w:tcW w:w="1920" w:type="dxa"/>
            <w:shd w:val="clear" w:color="auto" w:fill="auto"/>
            <w:noWrap/>
            <w:vAlign w:val="bottom"/>
            <w:hideMark/>
          </w:tcPr>
          <w:p w14:paraId="025DF054"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412 (14.6%)</w:t>
            </w:r>
          </w:p>
        </w:tc>
        <w:tc>
          <w:tcPr>
            <w:tcW w:w="3793" w:type="dxa"/>
            <w:gridSpan w:val="2"/>
            <w:shd w:val="clear" w:color="auto" w:fill="auto"/>
            <w:noWrap/>
            <w:vAlign w:val="bottom"/>
            <w:hideMark/>
          </w:tcPr>
          <w:p w14:paraId="68D978F1"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2214 (78.7%)</w:t>
            </w:r>
          </w:p>
        </w:tc>
      </w:tr>
      <w:tr w:rsidR="005054B9" w:rsidRPr="005054B9" w14:paraId="6865C67E" w14:textId="77777777" w:rsidTr="005912CC">
        <w:trPr>
          <w:trHeight w:val="285"/>
        </w:trPr>
        <w:tc>
          <w:tcPr>
            <w:tcW w:w="5819" w:type="dxa"/>
            <w:gridSpan w:val="2"/>
            <w:shd w:val="clear" w:color="auto" w:fill="auto"/>
            <w:noWrap/>
            <w:vAlign w:val="bottom"/>
            <w:hideMark/>
          </w:tcPr>
          <w:p w14:paraId="2A4E27D7" w14:textId="77777777" w:rsidR="005054B9" w:rsidRPr="005054B9" w:rsidRDefault="005054B9" w:rsidP="005054B9">
            <w:pPr>
              <w:spacing w:after="0"/>
              <w:rPr>
                <w:rFonts w:ascii="Garamond" w:eastAsia="Times New Roman" w:hAnsi="Garamond" w:cs="Times New Roman"/>
                <w:b/>
                <w:bCs/>
                <w:color w:val="000000"/>
                <w:lang w:val="en-GB" w:eastAsia="en-GB"/>
              </w:rPr>
            </w:pPr>
            <w:r w:rsidRPr="005054B9">
              <w:rPr>
                <w:rFonts w:ascii="Garamond" w:eastAsia="Times New Roman" w:hAnsi="Garamond" w:cs="Times New Roman"/>
                <w:b/>
                <w:bCs/>
                <w:color w:val="000000"/>
                <w:lang w:val="en-GB" w:eastAsia="en-GB"/>
              </w:rPr>
              <w:t>Caregiver Edu</w:t>
            </w:r>
          </w:p>
        </w:tc>
        <w:tc>
          <w:tcPr>
            <w:tcW w:w="2116" w:type="dxa"/>
            <w:shd w:val="clear" w:color="auto" w:fill="auto"/>
            <w:noWrap/>
            <w:vAlign w:val="bottom"/>
            <w:hideMark/>
          </w:tcPr>
          <w:p w14:paraId="135B232C" w14:textId="77777777" w:rsidR="005054B9" w:rsidRPr="005054B9" w:rsidRDefault="005054B9" w:rsidP="005054B9">
            <w:pPr>
              <w:spacing w:after="0"/>
              <w:rPr>
                <w:rFonts w:ascii="Garamond" w:eastAsia="Times New Roman" w:hAnsi="Garamond" w:cs="Times New Roman"/>
                <w:b/>
                <w:bCs/>
                <w:color w:val="000000"/>
                <w:lang w:val="en-GB" w:eastAsia="en-GB"/>
              </w:rPr>
            </w:pPr>
          </w:p>
        </w:tc>
        <w:tc>
          <w:tcPr>
            <w:tcW w:w="1677" w:type="dxa"/>
            <w:shd w:val="clear" w:color="auto" w:fill="auto"/>
            <w:noWrap/>
            <w:vAlign w:val="bottom"/>
            <w:hideMark/>
          </w:tcPr>
          <w:p w14:paraId="2A610E13" w14:textId="77777777" w:rsidR="005054B9" w:rsidRPr="005054B9" w:rsidRDefault="005054B9" w:rsidP="005054B9">
            <w:pPr>
              <w:spacing w:after="0"/>
              <w:rPr>
                <w:rFonts w:ascii="Garamond" w:eastAsia="Times New Roman" w:hAnsi="Garamond" w:cs="Times New Roman"/>
                <w:b/>
                <w:bCs/>
                <w:lang w:val="en-GB" w:eastAsia="en-GB"/>
              </w:rPr>
            </w:pPr>
          </w:p>
        </w:tc>
      </w:tr>
      <w:tr w:rsidR="005054B9" w:rsidRPr="005054B9" w14:paraId="762A94B6" w14:textId="77777777" w:rsidTr="005912CC">
        <w:trPr>
          <w:trHeight w:val="285"/>
        </w:trPr>
        <w:tc>
          <w:tcPr>
            <w:tcW w:w="3899" w:type="dxa"/>
            <w:shd w:val="clear" w:color="auto" w:fill="auto"/>
            <w:noWrap/>
            <w:vAlign w:val="bottom"/>
            <w:hideMark/>
          </w:tcPr>
          <w:p w14:paraId="237CB694"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No</w:t>
            </w:r>
          </w:p>
        </w:tc>
        <w:tc>
          <w:tcPr>
            <w:tcW w:w="1920" w:type="dxa"/>
            <w:shd w:val="clear" w:color="auto" w:fill="auto"/>
            <w:noWrap/>
            <w:vAlign w:val="bottom"/>
            <w:hideMark/>
          </w:tcPr>
          <w:p w14:paraId="02750756"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212 (7.5%)</w:t>
            </w:r>
          </w:p>
        </w:tc>
        <w:tc>
          <w:tcPr>
            <w:tcW w:w="2116" w:type="dxa"/>
            <w:shd w:val="clear" w:color="auto" w:fill="auto"/>
            <w:noWrap/>
            <w:vAlign w:val="bottom"/>
            <w:hideMark/>
          </w:tcPr>
          <w:p w14:paraId="5EA7313A"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1192 (42.3%)</w:t>
            </w:r>
          </w:p>
        </w:tc>
        <w:tc>
          <w:tcPr>
            <w:tcW w:w="1677" w:type="dxa"/>
            <w:shd w:val="clear" w:color="auto" w:fill="auto"/>
            <w:noWrap/>
            <w:vAlign w:val="bottom"/>
            <w:hideMark/>
          </w:tcPr>
          <w:p w14:paraId="4F1866BF" w14:textId="77777777" w:rsidR="005054B9" w:rsidRPr="005054B9" w:rsidRDefault="005054B9" w:rsidP="005054B9">
            <w:pPr>
              <w:spacing w:after="0"/>
              <w:jc w:val="right"/>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0.8777</w:t>
            </w:r>
          </w:p>
        </w:tc>
      </w:tr>
      <w:tr w:rsidR="005054B9" w:rsidRPr="005054B9" w14:paraId="2F594D40" w14:textId="77777777" w:rsidTr="005054B9">
        <w:trPr>
          <w:trHeight w:val="285"/>
        </w:trPr>
        <w:tc>
          <w:tcPr>
            <w:tcW w:w="3899" w:type="dxa"/>
            <w:shd w:val="clear" w:color="auto" w:fill="auto"/>
            <w:noWrap/>
            <w:vAlign w:val="bottom"/>
            <w:hideMark/>
          </w:tcPr>
          <w:p w14:paraId="5A97F676"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Yes</w:t>
            </w:r>
          </w:p>
        </w:tc>
        <w:tc>
          <w:tcPr>
            <w:tcW w:w="1920" w:type="dxa"/>
            <w:shd w:val="clear" w:color="auto" w:fill="auto"/>
            <w:noWrap/>
            <w:vAlign w:val="bottom"/>
            <w:hideMark/>
          </w:tcPr>
          <w:p w14:paraId="12D6FFE3"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217 (7.7%)</w:t>
            </w:r>
          </w:p>
        </w:tc>
        <w:tc>
          <w:tcPr>
            <w:tcW w:w="3793" w:type="dxa"/>
            <w:gridSpan w:val="2"/>
            <w:shd w:val="clear" w:color="auto" w:fill="auto"/>
            <w:noWrap/>
            <w:vAlign w:val="bottom"/>
            <w:hideMark/>
          </w:tcPr>
          <w:p w14:paraId="5D2353F9"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1194 (42.4%)</w:t>
            </w:r>
          </w:p>
        </w:tc>
      </w:tr>
      <w:tr w:rsidR="005054B9" w:rsidRPr="005054B9" w14:paraId="4187D3D2" w14:textId="77777777" w:rsidTr="005912CC">
        <w:trPr>
          <w:trHeight w:val="285"/>
        </w:trPr>
        <w:tc>
          <w:tcPr>
            <w:tcW w:w="5819" w:type="dxa"/>
            <w:gridSpan w:val="2"/>
            <w:shd w:val="clear" w:color="auto" w:fill="auto"/>
            <w:noWrap/>
            <w:vAlign w:val="bottom"/>
            <w:hideMark/>
          </w:tcPr>
          <w:p w14:paraId="0FF56945" w14:textId="77777777" w:rsidR="005054B9" w:rsidRPr="005054B9" w:rsidRDefault="005054B9" w:rsidP="005054B9">
            <w:pPr>
              <w:spacing w:after="0"/>
              <w:rPr>
                <w:rFonts w:ascii="Garamond" w:eastAsia="Times New Roman" w:hAnsi="Garamond" w:cs="Times New Roman"/>
                <w:b/>
                <w:bCs/>
                <w:color w:val="000000"/>
                <w:lang w:val="en-GB" w:eastAsia="en-GB"/>
              </w:rPr>
            </w:pPr>
            <w:r w:rsidRPr="005054B9">
              <w:rPr>
                <w:rFonts w:ascii="Garamond" w:eastAsia="Times New Roman" w:hAnsi="Garamond" w:cs="Times New Roman"/>
                <w:b/>
                <w:bCs/>
                <w:color w:val="000000"/>
                <w:lang w:val="en-GB" w:eastAsia="en-GB"/>
              </w:rPr>
              <w:t>Caregiver Edu level</w:t>
            </w:r>
          </w:p>
        </w:tc>
        <w:tc>
          <w:tcPr>
            <w:tcW w:w="2116" w:type="dxa"/>
            <w:shd w:val="clear" w:color="auto" w:fill="auto"/>
            <w:noWrap/>
            <w:vAlign w:val="bottom"/>
            <w:hideMark/>
          </w:tcPr>
          <w:p w14:paraId="54D42773" w14:textId="77777777" w:rsidR="005054B9" w:rsidRPr="005054B9" w:rsidRDefault="005054B9" w:rsidP="005054B9">
            <w:pPr>
              <w:spacing w:after="0"/>
              <w:rPr>
                <w:rFonts w:ascii="Garamond" w:eastAsia="Times New Roman" w:hAnsi="Garamond" w:cs="Times New Roman"/>
                <w:b/>
                <w:bCs/>
                <w:color w:val="000000"/>
                <w:lang w:val="en-GB" w:eastAsia="en-GB"/>
              </w:rPr>
            </w:pPr>
          </w:p>
        </w:tc>
        <w:tc>
          <w:tcPr>
            <w:tcW w:w="1677" w:type="dxa"/>
            <w:shd w:val="clear" w:color="auto" w:fill="auto"/>
            <w:noWrap/>
            <w:vAlign w:val="bottom"/>
            <w:hideMark/>
          </w:tcPr>
          <w:p w14:paraId="69FA4722" w14:textId="77777777" w:rsidR="005054B9" w:rsidRPr="005054B9" w:rsidRDefault="005054B9" w:rsidP="005054B9">
            <w:pPr>
              <w:spacing w:after="0"/>
              <w:rPr>
                <w:rFonts w:ascii="Garamond" w:eastAsia="Times New Roman" w:hAnsi="Garamond" w:cs="Times New Roman"/>
                <w:b/>
                <w:bCs/>
                <w:lang w:val="en-GB" w:eastAsia="en-GB"/>
              </w:rPr>
            </w:pPr>
          </w:p>
        </w:tc>
      </w:tr>
      <w:tr w:rsidR="005054B9" w:rsidRPr="005054B9" w14:paraId="27E7051D" w14:textId="77777777" w:rsidTr="005912CC">
        <w:trPr>
          <w:trHeight w:val="285"/>
        </w:trPr>
        <w:tc>
          <w:tcPr>
            <w:tcW w:w="3899" w:type="dxa"/>
            <w:shd w:val="clear" w:color="auto" w:fill="auto"/>
            <w:noWrap/>
            <w:vAlign w:val="bottom"/>
            <w:hideMark/>
          </w:tcPr>
          <w:p w14:paraId="12D5EB6B"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Don’t know</w:t>
            </w:r>
          </w:p>
        </w:tc>
        <w:tc>
          <w:tcPr>
            <w:tcW w:w="1920" w:type="dxa"/>
            <w:shd w:val="clear" w:color="auto" w:fill="auto"/>
            <w:noWrap/>
            <w:vAlign w:val="bottom"/>
            <w:hideMark/>
          </w:tcPr>
          <w:p w14:paraId="33B53054"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0 (0.0%)</w:t>
            </w:r>
          </w:p>
        </w:tc>
        <w:tc>
          <w:tcPr>
            <w:tcW w:w="2116" w:type="dxa"/>
            <w:shd w:val="clear" w:color="auto" w:fill="auto"/>
            <w:noWrap/>
            <w:vAlign w:val="bottom"/>
            <w:hideMark/>
          </w:tcPr>
          <w:p w14:paraId="490BD2CB"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12 (0.9%)</w:t>
            </w:r>
          </w:p>
        </w:tc>
        <w:tc>
          <w:tcPr>
            <w:tcW w:w="1677" w:type="dxa"/>
            <w:shd w:val="clear" w:color="auto" w:fill="auto"/>
            <w:noWrap/>
            <w:vAlign w:val="bottom"/>
            <w:hideMark/>
          </w:tcPr>
          <w:p w14:paraId="65A28C23" w14:textId="77777777" w:rsidR="005054B9" w:rsidRPr="005054B9" w:rsidRDefault="005054B9" w:rsidP="005054B9">
            <w:pPr>
              <w:spacing w:after="0"/>
              <w:jc w:val="right"/>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0</w:t>
            </w:r>
          </w:p>
        </w:tc>
      </w:tr>
      <w:tr w:rsidR="005054B9" w:rsidRPr="005054B9" w14:paraId="01E1052E" w14:textId="77777777" w:rsidTr="005054B9">
        <w:trPr>
          <w:trHeight w:val="285"/>
        </w:trPr>
        <w:tc>
          <w:tcPr>
            <w:tcW w:w="3899" w:type="dxa"/>
            <w:shd w:val="clear" w:color="auto" w:fill="auto"/>
            <w:noWrap/>
            <w:vAlign w:val="bottom"/>
            <w:hideMark/>
          </w:tcPr>
          <w:p w14:paraId="64BC00AD"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Higher</w:t>
            </w:r>
          </w:p>
        </w:tc>
        <w:tc>
          <w:tcPr>
            <w:tcW w:w="1920" w:type="dxa"/>
            <w:shd w:val="clear" w:color="auto" w:fill="auto"/>
            <w:noWrap/>
            <w:vAlign w:val="bottom"/>
            <w:hideMark/>
          </w:tcPr>
          <w:p w14:paraId="1B72D035"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25 (1.8%)</w:t>
            </w:r>
          </w:p>
        </w:tc>
        <w:tc>
          <w:tcPr>
            <w:tcW w:w="3793" w:type="dxa"/>
            <w:gridSpan w:val="2"/>
            <w:shd w:val="clear" w:color="auto" w:fill="auto"/>
            <w:noWrap/>
            <w:vAlign w:val="bottom"/>
            <w:hideMark/>
          </w:tcPr>
          <w:p w14:paraId="1EAA2F30"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124 (8.8%)</w:t>
            </w:r>
          </w:p>
        </w:tc>
      </w:tr>
      <w:tr w:rsidR="005054B9" w:rsidRPr="005054B9" w14:paraId="08E28F84" w14:textId="77777777" w:rsidTr="005912CC">
        <w:trPr>
          <w:trHeight w:val="285"/>
        </w:trPr>
        <w:tc>
          <w:tcPr>
            <w:tcW w:w="3899" w:type="dxa"/>
            <w:shd w:val="clear" w:color="auto" w:fill="auto"/>
            <w:noWrap/>
            <w:vAlign w:val="bottom"/>
            <w:hideMark/>
          </w:tcPr>
          <w:p w14:paraId="309066CA"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Pre-primary/kindergarten</w:t>
            </w:r>
          </w:p>
        </w:tc>
        <w:tc>
          <w:tcPr>
            <w:tcW w:w="1920" w:type="dxa"/>
            <w:shd w:val="clear" w:color="auto" w:fill="auto"/>
            <w:noWrap/>
            <w:vAlign w:val="bottom"/>
            <w:hideMark/>
          </w:tcPr>
          <w:p w14:paraId="2EC42C40"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3 (0.2%)</w:t>
            </w:r>
          </w:p>
        </w:tc>
        <w:tc>
          <w:tcPr>
            <w:tcW w:w="2116" w:type="dxa"/>
            <w:shd w:val="clear" w:color="auto" w:fill="auto"/>
            <w:noWrap/>
            <w:vAlign w:val="bottom"/>
            <w:hideMark/>
          </w:tcPr>
          <w:p w14:paraId="36E26E10"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38 (2.7%)</w:t>
            </w:r>
          </w:p>
        </w:tc>
        <w:tc>
          <w:tcPr>
            <w:tcW w:w="1677" w:type="dxa"/>
            <w:shd w:val="clear" w:color="auto" w:fill="auto"/>
            <w:noWrap/>
            <w:vAlign w:val="bottom"/>
            <w:hideMark/>
          </w:tcPr>
          <w:p w14:paraId="27A53B59" w14:textId="77777777" w:rsidR="005054B9" w:rsidRPr="005054B9" w:rsidRDefault="005054B9" w:rsidP="005054B9">
            <w:pPr>
              <w:spacing w:after="0"/>
              <w:rPr>
                <w:rFonts w:ascii="Garamond" w:eastAsia="Times New Roman" w:hAnsi="Garamond" w:cs="Times New Roman"/>
                <w:color w:val="000000"/>
                <w:lang w:val="en-GB" w:eastAsia="en-GB"/>
              </w:rPr>
            </w:pPr>
          </w:p>
        </w:tc>
      </w:tr>
      <w:tr w:rsidR="005054B9" w:rsidRPr="005054B9" w14:paraId="41932180" w14:textId="77777777" w:rsidTr="005054B9">
        <w:trPr>
          <w:trHeight w:val="285"/>
        </w:trPr>
        <w:tc>
          <w:tcPr>
            <w:tcW w:w="3899" w:type="dxa"/>
            <w:shd w:val="clear" w:color="auto" w:fill="auto"/>
            <w:noWrap/>
            <w:vAlign w:val="bottom"/>
            <w:hideMark/>
          </w:tcPr>
          <w:p w14:paraId="76A867AF"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Primary</w:t>
            </w:r>
          </w:p>
        </w:tc>
        <w:tc>
          <w:tcPr>
            <w:tcW w:w="1920" w:type="dxa"/>
            <w:shd w:val="clear" w:color="auto" w:fill="auto"/>
            <w:noWrap/>
            <w:vAlign w:val="bottom"/>
            <w:hideMark/>
          </w:tcPr>
          <w:p w14:paraId="359E8F46"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65 (4.6%)</w:t>
            </w:r>
          </w:p>
        </w:tc>
        <w:tc>
          <w:tcPr>
            <w:tcW w:w="3793" w:type="dxa"/>
            <w:gridSpan w:val="2"/>
            <w:shd w:val="clear" w:color="auto" w:fill="auto"/>
            <w:noWrap/>
            <w:vAlign w:val="bottom"/>
            <w:hideMark/>
          </w:tcPr>
          <w:p w14:paraId="1EEB3D15"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562 (39.8%)</w:t>
            </w:r>
          </w:p>
        </w:tc>
      </w:tr>
      <w:tr w:rsidR="005054B9" w:rsidRPr="005054B9" w14:paraId="0152636E" w14:textId="77777777" w:rsidTr="005054B9">
        <w:trPr>
          <w:trHeight w:val="285"/>
        </w:trPr>
        <w:tc>
          <w:tcPr>
            <w:tcW w:w="3899" w:type="dxa"/>
            <w:shd w:val="clear" w:color="auto" w:fill="auto"/>
            <w:noWrap/>
            <w:vAlign w:val="bottom"/>
            <w:hideMark/>
          </w:tcPr>
          <w:p w14:paraId="4479014B"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Secondary</w:t>
            </w:r>
          </w:p>
        </w:tc>
        <w:tc>
          <w:tcPr>
            <w:tcW w:w="1920" w:type="dxa"/>
            <w:shd w:val="clear" w:color="auto" w:fill="auto"/>
            <w:noWrap/>
            <w:vAlign w:val="bottom"/>
            <w:hideMark/>
          </w:tcPr>
          <w:p w14:paraId="71337342"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124 (8.8%)</w:t>
            </w:r>
          </w:p>
        </w:tc>
        <w:tc>
          <w:tcPr>
            <w:tcW w:w="3793" w:type="dxa"/>
            <w:gridSpan w:val="2"/>
            <w:shd w:val="clear" w:color="auto" w:fill="auto"/>
            <w:noWrap/>
            <w:vAlign w:val="bottom"/>
            <w:hideMark/>
          </w:tcPr>
          <w:p w14:paraId="5DD9A316"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458 (32.5%)</w:t>
            </w:r>
          </w:p>
        </w:tc>
      </w:tr>
      <w:tr w:rsidR="005054B9" w:rsidRPr="005054B9" w14:paraId="571A1111" w14:textId="77777777" w:rsidTr="005054B9">
        <w:trPr>
          <w:trHeight w:val="285"/>
        </w:trPr>
        <w:tc>
          <w:tcPr>
            <w:tcW w:w="7935" w:type="dxa"/>
            <w:gridSpan w:val="3"/>
            <w:shd w:val="clear" w:color="auto" w:fill="auto"/>
            <w:noWrap/>
            <w:vAlign w:val="bottom"/>
            <w:hideMark/>
          </w:tcPr>
          <w:p w14:paraId="50BD1DAB" w14:textId="77777777" w:rsidR="005054B9" w:rsidRPr="005054B9" w:rsidRDefault="005054B9" w:rsidP="005054B9">
            <w:pPr>
              <w:spacing w:after="0"/>
              <w:rPr>
                <w:rFonts w:ascii="Garamond" w:eastAsia="Times New Roman" w:hAnsi="Garamond" w:cs="Times New Roman"/>
                <w:b/>
                <w:bCs/>
                <w:color w:val="000000"/>
                <w:lang w:val="en-GB" w:eastAsia="en-GB"/>
              </w:rPr>
            </w:pPr>
            <w:r w:rsidRPr="005054B9">
              <w:rPr>
                <w:rFonts w:ascii="Garamond" w:eastAsia="Times New Roman" w:hAnsi="Garamond" w:cs="Times New Roman"/>
                <w:b/>
                <w:bCs/>
                <w:color w:val="000000"/>
                <w:lang w:val="en-GB" w:eastAsia="en-GB"/>
              </w:rPr>
              <w:t>Caregiver Employment</w:t>
            </w:r>
          </w:p>
        </w:tc>
        <w:tc>
          <w:tcPr>
            <w:tcW w:w="1677" w:type="dxa"/>
            <w:shd w:val="clear" w:color="auto" w:fill="auto"/>
            <w:noWrap/>
            <w:vAlign w:val="bottom"/>
            <w:hideMark/>
          </w:tcPr>
          <w:p w14:paraId="0228177F" w14:textId="77777777" w:rsidR="005054B9" w:rsidRPr="005054B9" w:rsidRDefault="005054B9" w:rsidP="005054B9">
            <w:pPr>
              <w:spacing w:after="0"/>
              <w:rPr>
                <w:rFonts w:ascii="Garamond" w:eastAsia="Times New Roman" w:hAnsi="Garamond" w:cs="Times New Roman"/>
                <w:b/>
                <w:bCs/>
                <w:color w:val="000000"/>
                <w:lang w:val="en-GB" w:eastAsia="en-GB"/>
              </w:rPr>
            </w:pPr>
          </w:p>
        </w:tc>
      </w:tr>
      <w:tr w:rsidR="005054B9" w:rsidRPr="005054B9" w14:paraId="6BC90786" w14:textId="77777777" w:rsidTr="005912CC">
        <w:trPr>
          <w:trHeight w:val="285"/>
        </w:trPr>
        <w:tc>
          <w:tcPr>
            <w:tcW w:w="3899" w:type="dxa"/>
            <w:shd w:val="clear" w:color="auto" w:fill="auto"/>
            <w:noWrap/>
            <w:vAlign w:val="bottom"/>
            <w:hideMark/>
          </w:tcPr>
          <w:p w14:paraId="1E0DA048"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Employed</w:t>
            </w:r>
          </w:p>
        </w:tc>
        <w:tc>
          <w:tcPr>
            <w:tcW w:w="1920" w:type="dxa"/>
            <w:shd w:val="clear" w:color="auto" w:fill="auto"/>
            <w:noWrap/>
            <w:vAlign w:val="bottom"/>
            <w:hideMark/>
          </w:tcPr>
          <w:p w14:paraId="0BCAB23E"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9 (0.3%)</w:t>
            </w:r>
          </w:p>
        </w:tc>
        <w:tc>
          <w:tcPr>
            <w:tcW w:w="2116" w:type="dxa"/>
            <w:shd w:val="clear" w:color="auto" w:fill="auto"/>
            <w:noWrap/>
            <w:vAlign w:val="bottom"/>
            <w:hideMark/>
          </w:tcPr>
          <w:p w14:paraId="7A249DF5"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133 (4.7%)</w:t>
            </w:r>
          </w:p>
        </w:tc>
        <w:tc>
          <w:tcPr>
            <w:tcW w:w="1677" w:type="dxa"/>
            <w:shd w:val="clear" w:color="auto" w:fill="auto"/>
            <w:noWrap/>
            <w:vAlign w:val="bottom"/>
            <w:hideMark/>
          </w:tcPr>
          <w:p w14:paraId="69CCAB00" w14:textId="77777777" w:rsidR="005054B9" w:rsidRPr="005054B9" w:rsidRDefault="005054B9" w:rsidP="005054B9">
            <w:pPr>
              <w:spacing w:after="0"/>
              <w:jc w:val="right"/>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0</w:t>
            </w:r>
          </w:p>
        </w:tc>
      </w:tr>
      <w:tr w:rsidR="005054B9" w:rsidRPr="005054B9" w14:paraId="1997AF55" w14:textId="77777777" w:rsidTr="005054B9">
        <w:trPr>
          <w:trHeight w:val="285"/>
        </w:trPr>
        <w:tc>
          <w:tcPr>
            <w:tcW w:w="3899" w:type="dxa"/>
            <w:shd w:val="clear" w:color="auto" w:fill="auto"/>
            <w:noWrap/>
            <w:vAlign w:val="bottom"/>
            <w:hideMark/>
          </w:tcPr>
          <w:p w14:paraId="1A32886F"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lastRenderedPageBreak/>
              <w:t>Self-employed</w:t>
            </w:r>
          </w:p>
        </w:tc>
        <w:tc>
          <w:tcPr>
            <w:tcW w:w="1920" w:type="dxa"/>
            <w:shd w:val="clear" w:color="auto" w:fill="auto"/>
            <w:noWrap/>
            <w:vAlign w:val="bottom"/>
            <w:hideMark/>
          </w:tcPr>
          <w:p w14:paraId="1FA8BB68"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233 (8.3%)</w:t>
            </w:r>
          </w:p>
        </w:tc>
        <w:tc>
          <w:tcPr>
            <w:tcW w:w="3793" w:type="dxa"/>
            <w:gridSpan w:val="2"/>
            <w:shd w:val="clear" w:color="auto" w:fill="auto"/>
            <w:noWrap/>
            <w:vAlign w:val="bottom"/>
            <w:hideMark/>
          </w:tcPr>
          <w:p w14:paraId="272A3749"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927 (32.9%)</w:t>
            </w:r>
          </w:p>
        </w:tc>
      </w:tr>
      <w:tr w:rsidR="005054B9" w:rsidRPr="005054B9" w14:paraId="726FFC31" w14:textId="77777777" w:rsidTr="005054B9">
        <w:trPr>
          <w:trHeight w:val="285"/>
        </w:trPr>
        <w:tc>
          <w:tcPr>
            <w:tcW w:w="3899" w:type="dxa"/>
            <w:shd w:val="clear" w:color="auto" w:fill="auto"/>
            <w:noWrap/>
            <w:vAlign w:val="bottom"/>
            <w:hideMark/>
          </w:tcPr>
          <w:p w14:paraId="6B2E121D"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Unemployed</w:t>
            </w:r>
          </w:p>
        </w:tc>
        <w:tc>
          <w:tcPr>
            <w:tcW w:w="1920" w:type="dxa"/>
            <w:shd w:val="clear" w:color="auto" w:fill="auto"/>
            <w:noWrap/>
            <w:vAlign w:val="bottom"/>
            <w:hideMark/>
          </w:tcPr>
          <w:p w14:paraId="6179D240"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187 (6.6%)</w:t>
            </w:r>
          </w:p>
        </w:tc>
        <w:tc>
          <w:tcPr>
            <w:tcW w:w="3793" w:type="dxa"/>
            <w:gridSpan w:val="2"/>
            <w:shd w:val="clear" w:color="auto" w:fill="auto"/>
            <w:noWrap/>
            <w:vAlign w:val="bottom"/>
            <w:hideMark/>
          </w:tcPr>
          <w:p w14:paraId="1983DADC"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1319 (46.9%)</w:t>
            </w:r>
          </w:p>
        </w:tc>
      </w:tr>
      <w:tr w:rsidR="005054B9" w:rsidRPr="005054B9" w14:paraId="16508F30" w14:textId="77777777" w:rsidTr="005912CC">
        <w:trPr>
          <w:trHeight w:val="285"/>
        </w:trPr>
        <w:tc>
          <w:tcPr>
            <w:tcW w:w="3899" w:type="dxa"/>
            <w:shd w:val="clear" w:color="auto" w:fill="auto"/>
            <w:noWrap/>
            <w:vAlign w:val="bottom"/>
            <w:hideMark/>
          </w:tcPr>
          <w:p w14:paraId="4D2ACE93"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 xml:space="preserve">Unemployed </w:t>
            </w:r>
          </w:p>
        </w:tc>
        <w:tc>
          <w:tcPr>
            <w:tcW w:w="1920" w:type="dxa"/>
            <w:shd w:val="clear" w:color="auto" w:fill="auto"/>
            <w:noWrap/>
            <w:vAlign w:val="bottom"/>
            <w:hideMark/>
          </w:tcPr>
          <w:p w14:paraId="7E43B118"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0 (0.0%)</w:t>
            </w:r>
          </w:p>
        </w:tc>
        <w:tc>
          <w:tcPr>
            <w:tcW w:w="2116" w:type="dxa"/>
            <w:shd w:val="clear" w:color="auto" w:fill="auto"/>
            <w:noWrap/>
            <w:vAlign w:val="bottom"/>
            <w:hideMark/>
          </w:tcPr>
          <w:p w14:paraId="05EDE1CE"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7 (0.2%)</w:t>
            </w:r>
          </w:p>
        </w:tc>
        <w:tc>
          <w:tcPr>
            <w:tcW w:w="1677" w:type="dxa"/>
            <w:shd w:val="clear" w:color="auto" w:fill="auto"/>
            <w:noWrap/>
            <w:vAlign w:val="bottom"/>
            <w:hideMark/>
          </w:tcPr>
          <w:p w14:paraId="11FC4786" w14:textId="77777777" w:rsidR="005054B9" w:rsidRPr="005054B9" w:rsidRDefault="005054B9" w:rsidP="005054B9">
            <w:pPr>
              <w:spacing w:after="0"/>
              <w:rPr>
                <w:rFonts w:ascii="Garamond" w:eastAsia="Times New Roman" w:hAnsi="Garamond" w:cs="Times New Roman"/>
                <w:color w:val="000000"/>
                <w:lang w:val="en-GB" w:eastAsia="en-GB"/>
              </w:rPr>
            </w:pPr>
          </w:p>
        </w:tc>
      </w:tr>
      <w:tr w:rsidR="005054B9" w:rsidRPr="005054B9" w14:paraId="33E2C0A3" w14:textId="77777777" w:rsidTr="005054B9">
        <w:trPr>
          <w:trHeight w:val="285"/>
        </w:trPr>
        <w:tc>
          <w:tcPr>
            <w:tcW w:w="7935" w:type="dxa"/>
            <w:gridSpan w:val="3"/>
            <w:shd w:val="clear" w:color="auto" w:fill="auto"/>
            <w:noWrap/>
            <w:vAlign w:val="bottom"/>
            <w:hideMark/>
          </w:tcPr>
          <w:p w14:paraId="2B91DE0F"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Caregiver occupation</w:t>
            </w:r>
          </w:p>
        </w:tc>
        <w:tc>
          <w:tcPr>
            <w:tcW w:w="1677" w:type="dxa"/>
            <w:shd w:val="clear" w:color="auto" w:fill="auto"/>
            <w:noWrap/>
            <w:vAlign w:val="bottom"/>
            <w:hideMark/>
          </w:tcPr>
          <w:p w14:paraId="1600B314" w14:textId="77777777" w:rsidR="005054B9" w:rsidRPr="005054B9" w:rsidRDefault="005054B9" w:rsidP="005054B9">
            <w:pPr>
              <w:spacing w:after="0"/>
              <w:rPr>
                <w:rFonts w:ascii="Garamond" w:eastAsia="Times New Roman" w:hAnsi="Garamond" w:cs="Times New Roman"/>
                <w:color w:val="000000"/>
                <w:lang w:val="en-GB" w:eastAsia="en-GB"/>
              </w:rPr>
            </w:pPr>
          </w:p>
        </w:tc>
      </w:tr>
      <w:tr w:rsidR="005054B9" w:rsidRPr="005054B9" w14:paraId="688D7D4B" w14:textId="77777777" w:rsidTr="005912CC">
        <w:trPr>
          <w:trHeight w:val="285"/>
        </w:trPr>
        <w:tc>
          <w:tcPr>
            <w:tcW w:w="3899" w:type="dxa"/>
            <w:shd w:val="clear" w:color="auto" w:fill="auto"/>
            <w:noWrap/>
            <w:vAlign w:val="bottom"/>
            <w:hideMark/>
          </w:tcPr>
          <w:p w14:paraId="1D04F3CD"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Cattle rearing</w:t>
            </w:r>
          </w:p>
        </w:tc>
        <w:tc>
          <w:tcPr>
            <w:tcW w:w="1920" w:type="dxa"/>
            <w:shd w:val="clear" w:color="auto" w:fill="auto"/>
            <w:noWrap/>
            <w:vAlign w:val="bottom"/>
            <w:hideMark/>
          </w:tcPr>
          <w:p w14:paraId="6209B6FE"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2 (0.2%)</w:t>
            </w:r>
          </w:p>
        </w:tc>
        <w:tc>
          <w:tcPr>
            <w:tcW w:w="2116" w:type="dxa"/>
            <w:shd w:val="clear" w:color="auto" w:fill="auto"/>
            <w:noWrap/>
            <w:vAlign w:val="bottom"/>
            <w:hideMark/>
          </w:tcPr>
          <w:p w14:paraId="29BE1EF8"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24 (1.8%)</w:t>
            </w:r>
          </w:p>
        </w:tc>
        <w:tc>
          <w:tcPr>
            <w:tcW w:w="1677" w:type="dxa"/>
            <w:shd w:val="clear" w:color="auto" w:fill="auto"/>
            <w:noWrap/>
            <w:vAlign w:val="bottom"/>
            <w:hideMark/>
          </w:tcPr>
          <w:p w14:paraId="7DB6CAC2" w14:textId="77777777" w:rsidR="005054B9" w:rsidRPr="005054B9" w:rsidRDefault="005054B9" w:rsidP="005054B9">
            <w:pPr>
              <w:spacing w:after="0"/>
              <w:jc w:val="right"/>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0.0057</w:t>
            </w:r>
          </w:p>
        </w:tc>
      </w:tr>
      <w:tr w:rsidR="005054B9" w:rsidRPr="005054B9" w14:paraId="19767F12" w14:textId="77777777" w:rsidTr="005912CC">
        <w:trPr>
          <w:trHeight w:val="285"/>
        </w:trPr>
        <w:tc>
          <w:tcPr>
            <w:tcW w:w="3899" w:type="dxa"/>
            <w:shd w:val="clear" w:color="auto" w:fill="auto"/>
            <w:noWrap/>
            <w:vAlign w:val="bottom"/>
            <w:hideMark/>
          </w:tcPr>
          <w:p w14:paraId="170C9A2A"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Civil Servant</w:t>
            </w:r>
          </w:p>
        </w:tc>
        <w:tc>
          <w:tcPr>
            <w:tcW w:w="1920" w:type="dxa"/>
            <w:shd w:val="clear" w:color="auto" w:fill="auto"/>
            <w:noWrap/>
            <w:vAlign w:val="bottom"/>
            <w:hideMark/>
          </w:tcPr>
          <w:p w14:paraId="5982F0A8"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8 (0.6%)</w:t>
            </w:r>
          </w:p>
        </w:tc>
        <w:tc>
          <w:tcPr>
            <w:tcW w:w="2116" w:type="dxa"/>
            <w:shd w:val="clear" w:color="auto" w:fill="auto"/>
            <w:noWrap/>
            <w:vAlign w:val="bottom"/>
            <w:hideMark/>
          </w:tcPr>
          <w:p w14:paraId="0F574E1A"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50 (3.8%)</w:t>
            </w:r>
          </w:p>
        </w:tc>
        <w:tc>
          <w:tcPr>
            <w:tcW w:w="1677" w:type="dxa"/>
            <w:shd w:val="clear" w:color="auto" w:fill="auto"/>
            <w:noWrap/>
            <w:vAlign w:val="bottom"/>
            <w:hideMark/>
          </w:tcPr>
          <w:p w14:paraId="235BF298" w14:textId="77777777" w:rsidR="005054B9" w:rsidRPr="005054B9" w:rsidRDefault="005054B9" w:rsidP="005054B9">
            <w:pPr>
              <w:spacing w:after="0"/>
              <w:rPr>
                <w:rFonts w:ascii="Garamond" w:eastAsia="Times New Roman" w:hAnsi="Garamond" w:cs="Times New Roman"/>
                <w:color w:val="000000"/>
                <w:lang w:val="en-GB" w:eastAsia="en-GB"/>
              </w:rPr>
            </w:pPr>
          </w:p>
        </w:tc>
      </w:tr>
      <w:tr w:rsidR="005054B9" w:rsidRPr="005054B9" w14:paraId="48EB23DA" w14:textId="77777777" w:rsidTr="005054B9">
        <w:trPr>
          <w:trHeight w:val="285"/>
        </w:trPr>
        <w:tc>
          <w:tcPr>
            <w:tcW w:w="3899" w:type="dxa"/>
            <w:shd w:val="clear" w:color="auto" w:fill="auto"/>
            <w:noWrap/>
            <w:vAlign w:val="bottom"/>
            <w:hideMark/>
          </w:tcPr>
          <w:p w14:paraId="71F5A4CF"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Farming</w:t>
            </w:r>
          </w:p>
        </w:tc>
        <w:tc>
          <w:tcPr>
            <w:tcW w:w="1920" w:type="dxa"/>
            <w:shd w:val="clear" w:color="auto" w:fill="auto"/>
            <w:noWrap/>
            <w:vAlign w:val="bottom"/>
            <w:hideMark/>
          </w:tcPr>
          <w:p w14:paraId="77C0A024"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13 (1.0%)</w:t>
            </w:r>
          </w:p>
        </w:tc>
        <w:tc>
          <w:tcPr>
            <w:tcW w:w="3793" w:type="dxa"/>
            <w:gridSpan w:val="2"/>
            <w:shd w:val="clear" w:color="auto" w:fill="auto"/>
            <w:noWrap/>
            <w:vAlign w:val="bottom"/>
            <w:hideMark/>
          </w:tcPr>
          <w:p w14:paraId="33CC8A87"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133 (10.2%)</w:t>
            </w:r>
          </w:p>
        </w:tc>
      </w:tr>
      <w:tr w:rsidR="005054B9" w:rsidRPr="005054B9" w14:paraId="63D7C3E2" w14:textId="77777777" w:rsidTr="005912CC">
        <w:trPr>
          <w:trHeight w:val="285"/>
        </w:trPr>
        <w:tc>
          <w:tcPr>
            <w:tcW w:w="3899" w:type="dxa"/>
            <w:shd w:val="clear" w:color="auto" w:fill="auto"/>
            <w:noWrap/>
            <w:vAlign w:val="bottom"/>
            <w:hideMark/>
          </w:tcPr>
          <w:p w14:paraId="7FCB2E9E"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Fishing</w:t>
            </w:r>
          </w:p>
        </w:tc>
        <w:tc>
          <w:tcPr>
            <w:tcW w:w="1920" w:type="dxa"/>
            <w:shd w:val="clear" w:color="auto" w:fill="auto"/>
            <w:noWrap/>
            <w:vAlign w:val="bottom"/>
            <w:hideMark/>
          </w:tcPr>
          <w:p w14:paraId="30C86E18"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0 (0.0%)</w:t>
            </w:r>
          </w:p>
        </w:tc>
        <w:tc>
          <w:tcPr>
            <w:tcW w:w="2116" w:type="dxa"/>
            <w:shd w:val="clear" w:color="auto" w:fill="auto"/>
            <w:noWrap/>
            <w:vAlign w:val="bottom"/>
            <w:hideMark/>
          </w:tcPr>
          <w:p w14:paraId="14344A97"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4 (0.3%)</w:t>
            </w:r>
          </w:p>
        </w:tc>
        <w:tc>
          <w:tcPr>
            <w:tcW w:w="1677" w:type="dxa"/>
            <w:shd w:val="clear" w:color="auto" w:fill="auto"/>
            <w:noWrap/>
            <w:vAlign w:val="bottom"/>
            <w:hideMark/>
          </w:tcPr>
          <w:p w14:paraId="351E3B5A" w14:textId="77777777" w:rsidR="005054B9" w:rsidRPr="005054B9" w:rsidRDefault="005054B9" w:rsidP="005054B9">
            <w:pPr>
              <w:spacing w:after="0"/>
              <w:rPr>
                <w:rFonts w:ascii="Garamond" w:eastAsia="Times New Roman" w:hAnsi="Garamond" w:cs="Times New Roman"/>
                <w:color w:val="000000"/>
                <w:lang w:val="en-GB" w:eastAsia="en-GB"/>
              </w:rPr>
            </w:pPr>
          </w:p>
        </w:tc>
      </w:tr>
      <w:tr w:rsidR="005054B9" w:rsidRPr="005054B9" w14:paraId="2FC4306E" w14:textId="77777777" w:rsidTr="005054B9">
        <w:trPr>
          <w:trHeight w:val="285"/>
        </w:trPr>
        <w:tc>
          <w:tcPr>
            <w:tcW w:w="3899" w:type="dxa"/>
            <w:shd w:val="clear" w:color="auto" w:fill="auto"/>
            <w:noWrap/>
            <w:vAlign w:val="bottom"/>
            <w:hideMark/>
          </w:tcPr>
          <w:p w14:paraId="6782AD49"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Other</w:t>
            </w:r>
          </w:p>
        </w:tc>
        <w:tc>
          <w:tcPr>
            <w:tcW w:w="1920" w:type="dxa"/>
            <w:shd w:val="clear" w:color="auto" w:fill="auto"/>
            <w:noWrap/>
            <w:vAlign w:val="bottom"/>
            <w:hideMark/>
          </w:tcPr>
          <w:p w14:paraId="1B3EB0D9"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47 (3.6%)</w:t>
            </w:r>
          </w:p>
        </w:tc>
        <w:tc>
          <w:tcPr>
            <w:tcW w:w="3793" w:type="dxa"/>
            <w:gridSpan w:val="2"/>
            <w:shd w:val="clear" w:color="auto" w:fill="auto"/>
            <w:noWrap/>
            <w:vAlign w:val="bottom"/>
            <w:hideMark/>
          </w:tcPr>
          <w:p w14:paraId="4F133AD1"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153 (11.8%)</w:t>
            </w:r>
          </w:p>
        </w:tc>
      </w:tr>
      <w:tr w:rsidR="005054B9" w:rsidRPr="005054B9" w14:paraId="1B884DDB" w14:textId="77777777" w:rsidTr="005912CC">
        <w:trPr>
          <w:trHeight w:val="285"/>
        </w:trPr>
        <w:tc>
          <w:tcPr>
            <w:tcW w:w="3899" w:type="dxa"/>
            <w:shd w:val="clear" w:color="auto" w:fill="auto"/>
            <w:noWrap/>
            <w:vAlign w:val="bottom"/>
            <w:hideMark/>
          </w:tcPr>
          <w:p w14:paraId="1482B0E6"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Technician</w:t>
            </w:r>
          </w:p>
        </w:tc>
        <w:tc>
          <w:tcPr>
            <w:tcW w:w="1920" w:type="dxa"/>
            <w:shd w:val="clear" w:color="auto" w:fill="auto"/>
            <w:noWrap/>
            <w:vAlign w:val="bottom"/>
            <w:hideMark/>
          </w:tcPr>
          <w:p w14:paraId="74C91F39"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 (0.1%)</w:t>
            </w:r>
          </w:p>
        </w:tc>
        <w:tc>
          <w:tcPr>
            <w:tcW w:w="2116" w:type="dxa"/>
            <w:shd w:val="clear" w:color="auto" w:fill="auto"/>
            <w:noWrap/>
            <w:vAlign w:val="bottom"/>
            <w:hideMark/>
          </w:tcPr>
          <w:p w14:paraId="62BFCC56"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12 (0.9%)</w:t>
            </w:r>
          </w:p>
        </w:tc>
        <w:tc>
          <w:tcPr>
            <w:tcW w:w="1677" w:type="dxa"/>
            <w:shd w:val="clear" w:color="auto" w:fill="auto"/>
            <w:noWrap/>
            <w:vAlign w:val="bottom"/>
            <w:hideMark/>
          </w:tcPr>
          <w:p w14:paraId="730ED82E" w14:textId="77777777" w:rsidR="005054B9" w:rsidRPr="005054B9" w:rsidRDefault="005054B9" w:rsidP="005054B9">
            <w:pPr>
              <w:spacing w:after="0"/>
              <w:rPr>
                <w:rFonts w:ascii="Garamond" w:eastAsia="Times New Roman" w:hAnsi="Garamond" w:cs="Times New Roman"/>
                <w:color w:val="000000"/>
                <w:lang w:val="en-GB" w:eastAsia="en-GB"/>
              </w:rPr>
            </w:pPr>
          </w:p>
        </w:tc>
      </w:tr>
      <w:tr w:rsidR="005054B9" w:rsidRPr="005054B9" w14:paraId="4C99D70C" w14:textId="77777777" w:rsidTr="005054B9">
        <w:trPr>
          <w:trHeight w:val="285"/>
        </w:trPr>
        <w:tc>
          <w:tcPr>
            <w:tcW w:w="3899" w:type="dxa"/>
            <w:shd w:val="clear" w:color="auto" w:fill="auto"/>
            <w:noWrap/>
            <w:vAlign w:val="bottom"/>
            <w:hideMark/>
          </w:tcPr>
          <w:p w14:paraId="571F88D3"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Trading</w:t>
            </w:r>
          </w:p>
        </w:tc>
        <w:tc>
          <w:tcPr>
            <w:tcW w:w="1920" w:type="dxa"/>
            <w:shd w:val="clear" w:color="auto" w:fill="auto"/>
            <w:noWrap/>
            <w:vAlign w:val="bottom"/>
            <w:hideMark/>
          </w:tcPr>
          <w:p w14:paraId="6FD0DE51"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171 (13.1%)</w:t>
            </w:r>
          </w:p>
        </w:tc>
        <w:tc>
          <w:tcPr>
            <w:tcW w:w="3793" w:type="dxa"/>
            <w:gridSpan w:val="2"/>
            <w:shd w:val="clear" w:color="auto" w:fill="auto"/>
            <w:noWrap/>
            <w:vAlign w:val="bottom"/>
            <w:hideMark/>
          </w:tcPr>
          <w:p w14:paraId="3AEDB732" w14:textId="77777777" w:rsidR="005054B9" w:rsidRPr="005054B9" w:rsidRDefault="005054B9" w:rsidP="005054B9">
            <w:pPr>
              <w:spacing w:after="0"/>
              <w:rPr>
                <w:rFonts w:ascii="Garamond" w:eastAsia="Times New Roman" w:hAnsi="Garamond" w:cs="Times New Roman"/>
                <w:color w:val="000000"/>
                <w:lang w:val="en-GB" w:eastAsia="en-GB"/>
              </w:rPr>
            </w:pPr>
            <w:r w:rsidRPr="005054B9">
              <w:rPr>
                <w:rFonts w:ascii="Garamond" w:eastAsia="Times New Roman" w:hAnsi="Garamond" w:cs="Times New Roman"/>
                <w:color w:val="000000"/>
                <w:lang w:val="en-GB" w:eastAsia="en-GB"/>
              </w:rPr>
              <w:t>684 (52.5%)</w:t>
            </w:r>
          </w:p>
        </w:tc>
      </w:tr>
    </w:tbl>
    <w:p w14:paraId="1FCA33D8" w14:textId="7EF7F489" w:rsidR="005912CC" w:rsidRPr="005912CC" w:rsidRDefault="005912CC" w:rsidP="005912CC">
      <w:pPr>
        <w:pStyle w:val="BodyText"/>
        <w:spacing w:line="360" w:lineRule="auto"/>
        <w:jc w:val="both"/>
        <w:rPr>
          <w:rFonts w:ascii="Garamond" w:hAnsi="Garamond"/>
          <w:lang w:val="en-GB"/>
        </w:rPr>
      </w:pPr>
      <w:r w:rsidRPr="005912CC">
        <w:rPr>
          <w:rFonts w:ascii="Garamond" w:hAnsi="Garamond"/>
          <w:lang w:val="en-GB"/>
        </w:rPr>
        <w:t>In examining the profile of children eligible for Vitamin A Supplementation (VAS), the analysis revealed notable patterns associated with child and caregiver characteristics. Among children aged 6–59 months, uptake of VAS was significantly higher among those aged 12–59 months (40.2%) compared to those aged 6–11 months (38.8%), with a highly significant difference (p &lt; 0.001). This disparity suggests that older children were more likely to be reached by supplementation campaigns, possibly due to caregiver preferences, child mobility, or service delivery prioritization.</w:t>
      </w:r>
    </w:p>
    <w:p w14:paraId="2B33A6BC" w14:textId="77777777" w:rsidR="005912CC" w:rsidRPr="005912CC" w:rsidRDefault="005912CC" w:rsidP="005912CC">
      <w:pPr>
        <w:pStyle w:val="BodyText"/>
        <w:spacing w:line="360" w:lineRule="auto"/>
        <w:jc w:val="both"/>
        <w:rPr>
          <w:rFonts w:ascii="Garamond" w:hAnsi="Garamond"/>
          <w:lang w:val="en-GB"/>
        </w:rPr>
      </w:pPr>
      <w:r w:rsidRPr="005912CC">
        <w:rPr>
          <w:rFonts w:ascii="Garamond" w:hAnsi="Garamond"/>
          <w:lang w:val="en-GB"/>
        </w:rPr>
        <w:t>Gender of the child did not significantly influence the likelihood of receiving VAS, with similar uptake observed among females (41.3%) and males (43.4%) (p = 0.8502). This indicates gender equity in the delivery of the intervention and suggests that program implementers were successful in reaching both male and female children without systematic bias.</w:t>
      </w:r>
    </w:p>
    <w:p w14:paraId="779035C9" w14:textId="77777777" w:rsidR="005912CC" w:rsidRPr="005912CC" w:rsidRDefault="005912CC" w:rsidP="005912CC">
      <w:pPr>
        <w:pStyle w:val="BodyText"/>
        <w:spacing w:line="360" w:lineRule="auto"/>
        <w:jc w:val="both"/>
        <w:rPr>
          <w:rFonts w:ascii="Garamond" w:hAnsi="Garamond"/>
          <w:lang w:val="en-GB"/>
        </w:rPr>
      </w:pPr>
      <w:r w:rsidRPr="005912CC">
        <w:rPr>
          <w:rFonts w:ascii="Garamond" w:hAnsi="Garamond"/>
          <w:lang w:val="en-GB"/>
        </w:rPr>
        <w:t>In contrast, caregiver characteristics were more strongly associated with VAS uptake. Children with female caregivers were significantly more likely to have received Vitamin A (80.7%) compared to those with male caregivers (4.0%) (p = 0.0022). This finding aligns with broader evidence indicating that female caregivers often play a central role in accessing preventive child health services. Similarly, marital status of the caregiver was a significant factor (p = 0.0182), with married caregivers accounting for the vast majority of VAS uptake (83.7%). This may reflect greater household stability and support systems that facilitate healthcare utilization.</w:t>
      </w:r>
    </w:p>
    <w:p w14:paraId="726C68C3" w14:textId="77777777" w:rsidR="005912CC" w:rsidRPr="005912CC" w:rsidRDefault="005912CC" w:rsidP="005912CC">
      <w:pPr>
        <w:pStyle w:val="BodyText"/>
        <w:spacing w:line="360" w:lineRule="auto"/>
        <w:jc w:val="both"/>
        <w:rPr>
          <w:rFonts w:ascii="Garamond" w:hAnsi="Garamond"/>
          <w:lang w:val="en-GB"/>
        </w:rPr>
      </w:pPr>
      <w:r w:rsidRPr="005912CC">
        <w:rPr>
          <w:rFonts w:ascii="Garamond" w:hAnsi="Garamond"/>
          <w:lang w:val="en-GB"/>
        </w:rPr>
        <w:t xml:space="preserve">Religious affiliation also showed a statistically significant association with VAS uptake (p = 0.0179). </w:t>
      </w:r>
      <w:proofErr w:type="gramStart"/>
      <w:r w:rsidRPr="005912CC">
        <w:rPr>
          <w:rFonts w:ascii="Garamond" w:hAnsi="Garamond"/>
          <w:lang w:val="en-GB"/>
        </w:rPr>
        <w:t>The majority of</w:t>
      </w:r>
      <w:proofErr w:type="gramEnd"/>
      <w:r w:rsidRPr="005912CC">
        <w:rPr>
          <w:rFonts w:ascii="Garamond" w:hAnsi="Garamond"/>
          <w:lang w:val="en-GB"/>
        </w:rPr>
        <w:t xml:space="preserve"> children who received Vitamin A came from Muslim households (78.7%), a pattern that likely mirrors the demographic composition of Bauchi State but may also reflect variations in geographic coverage, cultural engagement, or </w:t>
      </w:r>
      <w:proofErr w:type="gramStart"/>
      <w:r w:rsidRPr="005912CC">
        <w:rPr>
          <w:rFonts w:ascii="Garamond" w:hAnsi="Garamond"/>
          <w:lang w:val="en-GB"/>
        </w:rPr>
        <w:t>religiously-affiliated</w:t>
      </w:r>
      <w:proofErr w:type="gramEnd"/>
      <w:r w:rsidRPr="005912CC">
        <w:rPr>
          <w:rFonts w:ascii="Garamond" w:hAnsi="Garamond"/>
          <w:lang w:val="en-GB"/>
        </w:rPr>
        <w:t xml:space="preserve"> health outreach mechanisms.</w:t>
      </w:r>
    </w:p>
    <w:p w14:paraId="43FBEDB6" w14:textId="77777777" w:rsidR="005912CC" w:rsidRPr="005912CC" w:rsidRDefault="005912CC" w:rsidP="005912CC">
      <w:pPr>
        <w:pStyle w:val="BodyText"/>
        <w:spacing w:line="360" w:lineRule="auto"/>
        <w:jc w:val="both"/>
        <w:rPr>
          <w:rFonts w:ascii="Garamond" w:hAnsi="Garamond"/>
          <w:lang w:val="en-GB"/>
        </w:rPr>
      </w:pPr>
      <w:r w:rsidRPr="005912CC">
        <w:rPr>
          <w:rFonts w:ascii="Garamond" w:hAnsi="Garamond"/>
          <w:lang w:val="en-GB"/>
        </w:rPr>
        <w:lastRenderedPageBreak/>
        <w:t xml:space="preserve">Although caregiver education status (yes/no) did not show a significant association with Vitamin A uptake (p = 0.8777), more detailed analysis of educational attainment levels revealed important differences (p &lt; 0.001). Caregivers with primary (39.8%) and secondary (32.5%) education exhibited the highest rates of uptake. This suggests that moderate levels of formal education may correlate with improved awareness of health interventions and stronger health-seeking </w:t>
      </w:r>
      <w:proofErr w:type="spellStart"/>
      <w:r w:rsidRPr="005912CC">
        <w:rPr>
          <w:rFonts w:ascii="Garamond" w:hAnsi="Garamond"/>
          <w:lang w:val="en-GB"/>
        </w:rPr>
        <w:t>behavior</w:t>
      </w:r>
      <w:proofErr w:type="spellEnd"/>
      <w:r w:rsidRPr="005912CC">
        <w:rPr>
          <w:rFonts w:ascii="Garamond" w:hAnsi="Garamond"/>
          <w:lang w:val="en-GB"/>
        </w:rPr>
        <w:t>, whereas the benefits may taper off or be offset by other factors at higher education levels.</w:t>
      </w:r>
    </w:p>
    <w:p w14:paraId="32DB361C" w14:textId="77777777" w:rsidR="005912CC" w:rsidRPr="005912CC" w:rsidRDefault="005912CC" w:rsidP="005912CC">
      <w:pPr>
        <w:pStyle w:val="BodyText"/>
        <w:spacing w:line="360" w:lineRule="auto"/>
        <w:jc w:val="both"/>
        <w:rPr>
          <w:rFonts w:ascii="Garamond" w:hAnsi="Garamond"/>
          <w:lang w:val="en-GB"/>
        </w:rPr>
      </w:pPr>
      <w:r w:rsidRPr="005912CC">
        <w:rPr>
          <w:rFonts w:ascii="Garamond" w:hAnsi="Garamond"/>
          <w:lang w:val="en-GB"/>
        </w:rPr>
        <w:t xml:space="preserve">Employment status and occupation of caregivers further shaped VAS uptake. Children of unemployed caregivers accounted for the highest proportion of supplementation (46.9%), followed by those of self-employed caregivers (32.9%) and formally employed caregivers (4.7%) (p &lt; 0.001). This could reflect differences in availability during campaign periods or differential access to health information. </w:t>
      </w:r>
      <w:proofErr w:type="gramStart"/>
      <w:r w:rsidRPr="005912CC">
        <w:rPr>
          <w:rFonts w:ascii="Garamond" w:hAnsi="Garamond"/>
          <w:lang w:val="en-GB"/>
        </w:rPr>
        <w:t>With regard to</w:t>
      </w:r>
      <w:proofErr w:type="gramEnd"/>
      <w:r w:rsidRPr="005912CC">
        <w:rPr>
          <w:rFonts w:ascii="Garamond" w:hAnsi="Garamond"/>
          <w:lang w:val="en-GB"/>
        </w:rPr>
        <w:t xml:space="preserve"> occupation, traders and farmers were the most represented among caregivers of children who received VAS, at 52.5% and 10.2% respectively (p = 0.0057). Occupations involving regular market interaction may expose caregivers to health communication and outreach services more frequently.</w:t>
      </w:r>
    </w:p>
    <w:p w14:paraId="1EB7A598" w14:textId="0014DD1C" w:rsidR="005912CC" w:rsidRPr="005912CC" w:rsidRDefault="005912CC" w:rsidP="005912CC">
      <w:pPr>
        <w:pStyle w:val="BodyText"/>
        <w:spacing w:line="360" w:lineRule="auto"/>
        <w:jc w:val="both"/>
        <w:rPr>
          <w:rFonts w:ascii="Garamond" w:hAnsi="Garamond"/>
          <w:lang w:val="en-GB"/>
        </w:rPr>
      </w:pPr>
      <w:r w:rsidRPr="005912CC">
        <w:rPr>
          <w:rFonts w:ascii="Garamond" w:hAnsi="Garamond"/>
          <w:lang w:val="en-GB"/>
        </w:rPr>
        <w:t>Taken together, these findings underscore the importance of understanding both child-level and caregiver-level determinants of health service uptake. They also highlight critical entry points for tailoring future health campaigns</w:t>
      </w:r>
      <w:r w:rsidR="00086D7F">
        <w:rPr>
          <w:rFonts w:ascii="Garamond" w:hAnsi="Garamond"/>
          <w:lang w:val="en-GB"/>
        </w:rPr>
        <w:t xml:space="preserve">, </w:t>
      </w:r>
      <w:r w:rsidRPr="005912CC">
        <w:rPr>
          <w:rFonts w:ascii="Garamond" w:hAnsi="Garamond"/>
          <w:lang w:val="en-GB"/>
        </w:rPr>
        <w:t>particularly around caregiver engagement, age targeting, and equitable delivery mechanisms</w:t>
      </w:r>
      <w:r w:rsidR="00086D7F">
        <w:rPr>
          <w:rFonts w:ascii="Garamond" w:hAnsi="Garamond"/>
          <w:lang w:val="en-GB"/>
        </w:rPr>
        <w:t xml:space="preserve">, </w:t>
      </w:r>
      <w:r w:rsidRPr="005912CC">
        <w:rPr>
          <w:rFonts w:ascii="Garamond" w:hAnsi="Garamond"/>
          <w:lang w:val="en-GB"/>
        </w:rPr>
        <w:t>to enhance the coverage and impact of integrated child health interventions such as VAS and SMC.</w:t>
      </w:r>
    </w:p>
    <w:p w14:paraId="5299DD1D" w14:textId="77777777" w:rsidR="00100F11" w:rsidRPr="00100F11" w:rsidRDefault="00100F11" w:rsidP="00100F11">
      <w:pPr>
        <w:pStyle w:val="BodyText"/>
        <w:spacing w:line="360" w:lineRule="auto"/>
        <w:jc w:val="both"/>
        <w:rPr>
          <w:rFonts w:ascii="Garamond" w:hAnsi="Garamond"/>
          <w:b/>
          <w:bCs/>
          <w:lang w:val="en-GB"/>
        </w:rPr>
      </w:pPr>
      <w:r w:rsidRPr="00100F11">
        <w:rPr>
          <w:rFonts w:ascii="Garamond" w:hAnsi="Garamond"/>
          <w:b/>
          <w:bCs/>
          <w:lang w:val="en-GB"/>
        </w:rPr>
        <w:t>Primary Indicators by Research Objective</w:t>
      </w:r>
    </w:p>
    <w:p w14:paraId="4757302D" w14:textId="77777777" w:rsidR="00162391" w:rsidRPr="00162391" w:rsidRDefault="00162391" w:rsidP="00162391">
      <w:pPr>
        <w:pStyle w:val="BodyText"/>
        <w:spacing w:line="360" w:lineRule="auto"/>
        <w:jc w:val="both"/>
        <w:rPr>
          <w:rFonts w:ascii="Garamond" w:hAnsi="Garamond"/>
          <w:b/>
          <w:bCs/>
          <w:lang w:val="en-GB"/>
        </w:rPr>
      </w:pPr>
      <w:r w:rsidRPr="00162391">
        <w:rPr>
          <w:rFonts w:ascii="Garamond" w:hAnsi="Garamond"/>
          <w:b/>
          <w:bCs/>
          <w:lang w:val="en-GB"/>
        </w:rPr>
        <w:t>Objective 1: To determine the effect of integrating VAS with SMC on the uptake of other key MNCHW interventions</w:t>
      </w:r>
    </w:p>
    <w:p w14:paraId="76E018F8" w14:textId="0DAF7710" w:rsidR="00162391" w:rsidRPr="00162391" w:rsidRDefault="00162391" w:rsidP="00162391">
      <w:pPr>
        <w:pStyle w:val="BodyText"/>
        <w:spacing w:line="360" w:lineRule="auto"/>
        <w:jc w:val="both"/>
        <w:rPr>
          <w:rFonts w:ascii="Garamond" w:hAnsi="Garamond"/>
          <w:lang w:val="en-GB"/>
        </w:rPr>
      </w:pPr>
      <w:r w:rsidRPr="00162391">
        <w:rPr>
          <w:rFonts w:ascii="Garamond" w:hAnsi="Garamond"/>
          <w:lang w:val="en-GB"/>
        </w:rPr>
        <w:t>The integration of Vitamin A Supplementation (VAS) into Seasonal Malaria Chemoprevention (SMC) aimed to improve the uptake of other key MNCHW interventions among children and women of reproductive age. This section presents the coverage levels of four core child health interventions</w:t>
      </w:r>
      <w:r>
        <w:rPr>
          <w:rFonts w:ascii="Garamond" w:hAnsi="Garamond"/>
          <w:lang w:val="en-GB"/>
        </w:rPr>
        <w:t xml:space="preserve">, </w:t>
      </w:r>
      <w:r w:rsidRPr="00162391">
        <w:rPr>
          <w:rFonts w:ascii="Garamond" w:hAnsi="Garamond"/>
          <w:lang w:val="en-GB"/>
        </w:rPr>
        <w:t>VAS, Deworming, MUAC Screening, and Routine Immunization</w:t>
      </w:r>
      <w:r>
        <w:rPr>
          <w:rFonts w:ascii="Garamond" w:hAnsi="Garamond"/>
          <w:lang w:val="en-GB"/>
        </w:rPr>
        <w:t xml:space="preserve">, </w:t>
      </w:r>
      <w:r w:rsidRPr="00162391">
        <w:rPr>
          <w:rFonts w:ascii="Garamond" w:hAnsi="Garamond"/>
          <w:lang w:val="en-GB"/>
        </w:rPr>
        <w:t>and the results of chi-square tests conducted to assess the statistical distribution of “Yes” and “No” responses.</w:t>
      </w:r>
    </w:p>
    <w:p w14:paraId="0E2ACE25" w14:textId="77777777" w:rsidR="00162391" w:rsidRPr="00162391" w:rsidRDefault="00162391" w:rsidP="00162391">
      <w:pPr>
        <w:pStyle w:val="BodyText"/>
        <w:spacing w:line="360" w:lineRule="auto"/>
        <w:jc w:val="both"/>
        <w:rPr>
          <w:rFonts w:ascii="Garamond" w:hAnsi="Garamond"/>
          <w:lang w:val="en-GB"/>
        </w:rPr>
      </w:pPr>
      <w:r w:rsidRPr="00162391">
        <w:rPr>
          <w:rFonts w:ascii="Garamond" w:hAnsi="Garamond"/>
          <w:lang w:val="en-GB"/>
        </w:rPr>
        <w:lastRenderedPageBreak/>
        <w:t>Statewide coverage for Vitamin A Supplementation was 39.2% (3,161 out of 8,064 children). The chi-square test yielded a statistic of χ² = 376.31, with a p-value of &lt; 0.001, indicating a statistically significant difference between the number of children who did and did not receive Vitamin A.</w:t>
      </w:r>
    </w:p>
    <w:p w14:paraId="1B331239" w14:textId="77777777" w:rsidR="00162391" w:rsidRPr="00162391" w:rsidRDefault="00162391" w:rsidP="00162391">
      <w:pPr>
        <w:pStyle w:val="BodyText"/>
        <w:spacing w:line="360" w:lineRule="auto"/>
        <w:jc w:val="both"/>
        <w:rPr>
          <w:rFonts w:ascii="Garamond" w:hAnsi="Garamond"/>
          <w:lang w:val="en-GB"/>
        </w:rPr>
      </w:pPr>
      <w:r w:rsidRPr="00162391">
        <w:rPr>
          <w:rFonts w:ascii="Garamond" w:hAnsi="Garamond"/>
          <w:lang w:val="en-GB"/>
        </w:rPr>
        <w:t>For Deworming, the coverage was 32.7% (2,635 out of 8,064), and the chi-square test returned a value of χ² = 968.06, also with a p-value &lt; 0.001. This suggests a significant imbalance in the distribution of deworming uptake, with more children not receiving the intervention.</w:t>
      </w:r>
    </w:p>
    <w:p w14:paraId="114ED1B4" w14:textId="77777777" w:rsidR="00162391" w:rsidRPr="00162391" w:rsidRDefault="00162391" w:rsidP="00162391">
      <w:pPr>
        <w:pStyle w:val="BodyText"/>
        <w:spacing w:line="360" w:lineRule="auto"/>
        <w:jc w:val="both"/>
        <w:rPr>
          <w:rFonts w:ascii="Garamond" w:hAnsi="Garamond"/>
          <w:lang w:val="en-GB"/>
        </w:rPr>
      </w:pPr>
      <w:r w:rsidRPr="00162391">
        <w:rPr>
          <w:rFonts w:ascii="Garamond" w:hAnsi="Garamond"/>
          <w:lang w:val="en-GB"/>
        </w:rPr>
        <w:t>The MUAC Screening results showed the lowest coverage at 22.7% (1,830 out of 8,064 children). The chi-square test for this indicator produced a very high statistic of χ² = 2,405.16, with a p-value &lt; 0.001, again indicating a statistically significant difference between children who were screened and those who were not.</w:t>
      </w:r>
    </w:p>
    <w:p w14:paraId="17CF9453" w14:textId="77777777" w:rsidR="00162391" w:rsidRPr="00162391" w:rsidRDefault="00162391" w:rsidP="00162391">
      <w:pPr>
        <w:pStyle w:val="BodyText"/>
        <w:spacing w:line="360" w:lineRule="auto"/>
        <w:jc w:val="both"/>
        <w:rPr>
          <w:rFonts w:ascii="Garamond" w:hAnsi="Garamond"/>
          <w:lang w:val="en-GB"/>
        </w:rPr>
      </w:pPr>
      <w:r w:rsidRPr="00162391">
        <w:rPr>
          <w:rFonts w:ascii="Garamond" w:hAnsi="Garamond"/>
          <w:lang w:val="en-GB"/>
        </w:rPr>
        <w:t xml:space="preserve">In contrast, Routine Immunization had the highest reported coverage at 66.8% (438 out of 656 children aged 12–23 months). The corresponding chi-square test yielded χ² = 73.78, with a p-value &lt; 0.001, confirming a statistically significant distribution in </w:t>
      </w:r>
      <w:proofErr w:type="spellStart"/>
      <w:r w:rsidRPr="00162391">
        <w:rPr>
          <w:rFonts w:ascii="Garamond" w:hAnsi="Garamond"/>
          <w:lang w:val="en-GB"/>
        </w:rPr>
        <w:t>favor</w:t>
      </w:r>
      <w:proofErr w:type="spellEnd"/>
      <w:r w:rsidRPr="00162391">
        <w:rPr>
          <w:rFonts w:ascii="Garamond" w:hAnsi="Garamond"/>
          <w:lang w:val="en-GB"/>
        </w:rPr>
        <w:t xml:space="preserve"> of immunization uptake.</w:t>
      </w:r>
    </w:p>
    <w:p w14:paraId="1179F4E5" w14:textId="1F775A96" w:rsidR="00162391" w:rsidRPr="00162391" w:rsidRDefault="00162391" w:rsidP="00162391">
      <w:pPr>
        <w:pStyle w:val="BodyText"/>
        <w:spacing w:line="360" w:lineRule="auto"/>
        <w:jc w:val="both"/>
        <w:rPr>
          <w:rFonts w:ascii="Garamond" w:hAnsi="Garamond"/>
          <w:lang w:val="en-GB"/>
        </w:rPr>
      </w:pPr>
      <w:r w:rsidRPr="00162391">
        <w:rPr>
          <w:rFonts w:ascii="Garamond" w:hAnsi="Garamond"/>
          <w:lang w:val="en-GB"/>
        </w:rPr>
        <w:t>The chi-square tests demonstrate that uptake is not evenly distributed, and the coverage levels vary considerably across intervention types.</w:t>
      </w:r>
    </w:p>
    <w:p w14:paraId="435B7DEE" w14:textId="77777777" w:rsidR="00162391" w:rsidRPr="00162391" w:rsidRDefault="00162391" w:rsidP="00162391">
      <w:pPr>
        <w:pStyle w:val="BodyText"/>
        <w:spacing w:line="360" w:lineRule="auto"/>
        <w:jc w:val="both"/>
        <w:rPr>
          <w:rFonts w:ascii="Garamond" w:hAnsi="Garamond"/>
          <w:b/>
          <w:bCs/>
          <w:lang w:val="en-GB"/>
        </w:rPr>
      </w:pPr>
      <w:r w:rsidRPr="00162391">
        <w:rPr>
          <w:rFonts w:ascii="Garamond" w:hAnsi="Garamond"/>
          <w:b/>
          <w:bCs/>
          <w:lang w:val="en-GB"/>
        </w:rPr>
        <w:t>Table 5.1: Summary of MNCHW Intervention Coverage and Chi-square Test Results</w:t>
      </w:r>
    </w:p>
    <w:tbl>
      <w:tblPr>
        <w:tblStyle w:val="PlainTable5"/>
        <w:tblW w:w="0" w:type="auto"/>
        <w:tblLook w:val="04A0" w:firstRow="1" w:lastRow="0" w:firstColumn="1" w:lastColumn="0" w:noHBand="0" w:noVBand="1"/>
      </w:tblPr>
      <w:tblGrid>
        <w:gridCol w:w="2369"/>
        <w:gridCol w:w="1817"/>
        <w:gridCol w:w="719"/>
        <w:gridCol w:w="719"/>
        <w:gridCol w:w="1550"/>
        <w:gridCol w:w="1447"/>
        <w:gridCol w:w="955"/>
      </w:tblGrid>
      <w:tr w:rsidR="003661E0" w:rsidRPr="00162391" w14:paraId="6A355883" w14:textId="77777777" w:rsidTr="003661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7FAFDA3" w14:textId="77777777" w:rsidR="003661E0" w:rsidRPr="00162391" w:rsidRDefault="003661E0" w:rsidP="00162391">
            <w:pPr>
              <w:pStyle w:val="BodyText"/>
              <w:spacing w:line="360" w:lineRule="auto"/>
              <w:jc w:val="both"/>
              <w:rPr>
                <w:rFonts w:ascii="Garamond" w:hAnsi="Garamond"/>
                <w:b/>
                <w:bCs/>
                <w:lang w:val="en-GB"/>
              </w:rPr>
            </w:pPr>
            <w:r w:rsidRPr="00162391">
              <w:rPr>
                <w:rFonts w:ascii="Garamond" w:hAnsi="Garamond"/>
                <w:b/>
                <w:bCs/>
                <w:lang w:val="en-GB"/>
              </w:rPr>
              <w:t>Intervention</w:t>
            </w:r>
          </w:p>
        </w:tc>
        <w:tc>
          <w:tcPr>
            <w:tcW w:w="0" w:type="auto"/>
            <w:hideMark/>
          </w:tcPr>
          <w:p w14:paraId="62E11873" w14:textId="77777777" w:rsidR="003661E0" w:rsidRPr="00162391" w:rsidRDefault="003661E0" w:rsidP="00162391">
            <w:pPr>
              <w:pStyle w:val="BodyText"/>
              <w:spacing w:line="360" w:lineRule="auto"/>
              <w:jc w:val="both"/>
              <w:cnfStyle w:val="100000000000" w:firstRow="1" w:lastRow="0" w:firstColumn="0" w:lastColumn="0" w:oddVBand="0" w:evenVBand="0" w:oddHBand="0" w:evenHBand="0" w:firstRowFirstColumn="0" w:firstRowLastColumn="0" w:lastRowFirstColumn="0" w:lastRowLastColumn="0"/>
              <w:rPr>
                <w:rFonts w:ascii="Garamond" w:hAnsi="Garamond"/>
                <w:b/>
                <w:bCs/>
                <w:lang w:val="en-GB"/>
              </w:rPr>
            </w:pPr>
            <w:r w:rsidRPr="00162391">
              <w:rPr>
                <w:rFonts w:ascii="Garamond" w:hAnsi="Garamond"/>
                <w:b/>
                <w:bCs/>
                <w:lang w:val="en-GB"/>
              </w:rPr>
              <w:t>Total Responses</w:t>
            </w:r>
          </w:p>
        </w:tc>
        <w:tc>
          <w:tcPr>
            <w:tcW w:w="0" w:type="auto"/>
            <w:hideMark/>
          </w:tcPr>
          <w:p w14:paraId="7073E37E" w14:textId="226136EF" w:rsidR="003661E0" w:rsidRPr="00162391" w:rsidRDefault="003661E0" w:rsidP="00162391">
            <w:pPr>
              <w:pStyle w:val="BodyText"/>
              <w:spacing w:line="360" w:lineRule="auto"/>
              <w:jc w:val="both"/>
              <w:cnfStyle w:val="100000000000" w:firstRow="1" w:lastRow="0" w:firstColumn="0" w:lastColumn="0" w:oddVBand="0" w:evenVBand="0" w:oddHBand="0" w:evenHBand="0" w:firstRowFirstColumn="0" w:firstRowLastColumn="0" w:lastRowFirstColumn="0" w:lastRowLastColumn="0"/>
              <w:rPr>
                <w:rFonts w:ascii="Garamond" w:hAnsi="Garamond"/>
                <w:b/>
                <w:bCs/>
                <w:lang w:val="en-GB"/>
              </w:rPr>
            </w:pPr>
            <w:r w:rsidRPr="00162391">
              <w:rPr>
                <w:rFonts w:ascii="Garamond" w:hAnsi="Garamond"/>
                <w:b/>
                <w:bCs/>
                <w:lang w:val="en-GB"/>
              </w:rPr>
              <w:t xml:space="preserve">Yes </w:t>
            </w:r>
          </w:p>
        </w:tc>
        <w:tc>
          <w:tcPr>
            <w:tcW w:w="0" w:type="auto"/>
            <w:hideMark/>
          </w:tcPr>
          <w:p w14:paraId="28EB524F" w14:textId="4DB9EF67" w:rsidR="003661E0" w:rsidRPr="00162391" w:rsidRDefault="003661E0" w:rsidP="00162391">
            <w:pPr>
              <w:pStyle w:val="BodyText"/>
              <w:spacing w:line="360" w:lineRule="auto"/>
              <w:jc w:val="both"/>
              <w:cnfStyle w:val="100000000000" w:firstRow="1" w:lastRow="0" w:firstColumn="0" w:lastColumn="0" w:oddVBand="0" w:evenVBand="0" w:oddHBand="0" w:evenHBand="0" w:firstRowFirstColumn="0" w:firstRowLastColumn="0" w:lastRowFirstColumn="0" w:lastRowLastColumn="0"/>
              <w:rPr>
                <w:rFonts w:ascii="Garamond" w:hAnsi="Garamond"/>
                <w:b/>
                <w:bCs/>
                <w:lang w:val="en-GB"/>
              </w:rPr>
            </w:pPr>
            <w:r w:rsidRPr="00162391">
              <w:rPr>
                <w:rFonts w:ascii="Garamond" w:hAnsi="Garamond"/>
                <w:b/>
                <w:bCs/>
                <w:lang w:val="en-GB"/>
              </w:rPr>
              <w:t xml:space="preserve">No </w:t>
            </w:r>
          </w:p>
        </w:tc>
        <w:tc>
          <w:tcPr>
            <w:tcW w:w="0" w:type="auto"/>
            <w:hideMark/>
          </w:tcPr>
          <w:p w14:paraId="66C16C26" w14:textId="77777777" w:rsidR="003661E0" w:rsidRPr="00162391" w:rsidRDefault="003661E0" w:rsidP="00162391">
            <w:pPr>
              <w:pStyle w:val="BodyText"/>
              <w:spacing w:line="360" w:lineRule="auto"/>
              <w:jc w:val="both"/>
              <w:cnfStyle w:val="100000000000" w:firstRow="1" w:lastRow="0" w:firstColumn="0" w:lastColumn="0" w:oddVBand="0" w:evenVBand="0" w:oddHBand="0" w:evenHBand="0" w:firstRowFirstColumn="0" w:firstRowLastColumn="0" w:lastRowFirstColumn="0" w:lastRowLastColumn="0"/>
              <w:rPr>
                <w:rFonts w:ascii="Garamond" w:hAnsi="Garamond"/>
                <w:b/>
                <w:bCs/>
                <w:lang w:val="en-GB"/>
              </w:rPr>
            </w:pPr>
            <w:r w:rsidRPr="00162391">
              <w:rPr>
                <w:rFonts w:ascii="Garamond" w:hAnsi="Garamond"/>
                <w:b/>
                <w:bCs/>
                <w:lang w:val="en-GB"/>
              </w:rPr>
              <w:t>Coverage (%)</w:t>
            </w:r>
          </w:p>
        </w:tc>
        <w:tc>
          <w:tcPr>
            <w:tcW w:w="0" w:type="auto"/>
            <w:hideMark/>
          </w:tcPr>
          <w:p w14:paraId="255EEAA3" w14:textId="77777777" w:rsidR="003661E0" w:rsidRPr="00162391" w:rsidRDefault="003661E0" w:rsidP="00162391">
            <w:pPr>
              <w:pStyle w:val="BodyText"/>
              <w:spacing w:line="360" w:lineRule="auto"/>
              <w:jc w:val="both"/>
              <w:cnfStyle w:val="100000000000" w:firstRow="1" w:lastRow="0" w:firstColumn="0" w:lastColumn="0" w:oddVBand="0" w:evenVBand="0" w:oddHBand="0" w:evenHBand="0" w:firstRowFirstColumn="0" w:firstRowLastColumn="0" w:lastRowFirstColumn="0" w:lastRowLastColumn="0"/>
              <w:rPr>
                <w:rFonts w:ascii="Garamond" w:hAnsi="Garamond"/>
                <w:b/>
                <w:bCs/>
                <w:lang w:val="en-GB"/>
              </w:rPr>
            </w:pPr>
            <w:r w:rsidRPr="00162391">
              <w:rPr>
                <w:rFonts w:ascii="Garamond" w:hAnsi="Garamond"/>
                <w:b/>
                <w:bCs/>
                <w:lang w:val="en-GB"/>
              </w:rPr>
              <w:t>Chi² Statistic</w:t>
            </w:r>
          </w:p>
        </w:tc>
        <w:tc>
          <w:tcPr>
            <w:tcW w:w="0" w:type="auto"/>
            <w:hideMark/>
          </w:tcPr>
          <w:p w14:paraId="455C3A38" w14:textId="77777777" w:rsidR="003661E0" w:rsidRPr="00162391" w:rsidRDefault="003661E0" w:rsidP="00162391">
            <w:pPr>
              <w:pStyle w:val="BodyText"/>
              <w:spacing w:line="360" w:lineRule="auto"/>
              <w:jc w:val="both"/>
              <w:cnfStyle w:val="100000000000" w:firstRow="1" w:lastRow="0" w:firstColumn="0" w:lastColumn="0" w:oddVBand="0" w:evenVBand="0" w:oddHBand="0" w:evenHBand="0" w:firstRowFirstColumn="0" w:firstRowLastColumn="0" w:lastRowFirstColumn="0" w:lastRowLastColumn="0"/>
              <w:rPr>
                <w:rFonts w:ascii="Garamond" w:hAnsi="Garamond"/>
                <w:b/>
                <w:bCs/>
                <w:lang w:val="en-GB"/>
              </w:rPr>
            </w:pPr>
            <w:r w:rsidRPr="00162391">
              <w:rPr>
                <w:rFonts w:ascii="Garamond" w:hAnsi="Garamond"/>
                <w:b/>
                <w:bCs/>
                <w:lang w:val="en-GB"/>
              </w:rPr>
              <w:t>P-value</w:t>
            </w:r>
          </w:p>
        </w:tc>
      </w:tr>
      <w:tr w:rsidR="003661E0" w:rsidRPr="00162391" w14:paraId="3F69ED39" w14:textId="77777777" w:rsidTr="0036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9190CE" w14:textId="77777777" w:rsidR="003661E0" w:rsidRPr="00162391" w:rsidRDefault="003661E0" w:rsidP="00162391">
            <w:pPr>
              <w:pStyle w:val="BodyText"/>
              <w:spacing w:line="360" w:lineRule="auto"/>
              <w:jc w:val="both"/>
              <w:rPr>
                <w:rFonts w:ascii="Garamond" w:hAnsi="Garamond"/>
                <w:lang w:val="en-GB"/>
              </w:rPr>
            </w:pPr>
            <w:r w:rsidRPr="00162391">
              <w:rPr>
                <w:rFonts w:ascii="Garamond" w:hAnsi="Garamond"/>
                <w:lang w:val="en-GB"/>
              </w:rPr>
              <w:t>Vitamin A Supplementation</w:t>
            </w:r>
          </w:p>
        </w:tc>
        <w:tc>
          <w:tcPr>
            <w:tcW w:w="0" w:type="auto"/>
            <w:hideMark/>
          </w:tcPr>
          <w:p w14:paraId="3A6CE1F0" w14:textId="77777777" w:rsidR="003661E0" w:rsidRPr="00162391" w:rsidRDefault="003661E0" w:rsidP="00162391">
            <w:pPr>
              <w:pStyle w:val="BodyText"/>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lang w:val="en-GB"/>
              </w:rPr>
            </w:pPr>
            <w:r w:rsidRPr="00162391">
              <w:rPr>
                <w:rFonts w:ascii="Garamond" w:hAnsi="Garamond"/>
                <w:lang w:val="en-GB"/>
              </w:rPr>
              <w:t>8,064</w:t>
            </w:r>
          </w:p>
        </w:tc>
        <w:tc>
          <w:tcPr>
            <w:tcW w:w="0" w:type="auto"/>
            <w:hideMark/>
          </w:tcPr>
          <w:p w14:paraId="7E248961" w14:textId="77777777" w:rsidR="003661E0" w:rsidRPr="00162391" w:rsidRDefault="003661E0" w:rsidP="00162391">
            <w:pPr>
              <w:pStyle w:val="BodyText"/>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lang w:val="en-GB"/>
              </w:rPr>
            </w:pPr>
            <w:r w:rsidRPr="00162391">
              <w:rPr>
                <w:rFonts w:ascii="Garamond" w:hAnsi="Garamond"/>
                <w:lang w:val="en-GB"/>
              </w:rPr>
              <w:t>3,161</w:t>
            </w:r>
          </w:p>
        </w:tc>
        <w:tc>
          <w:tcPr>
            <w:tcW w:w="0" w:type="auto"/>
            <w:hideMark/>
          </w:tcPr>
          <w:p w14:paraId="5AB73C3B" w14:textId="77777777" w:rsidR="003661E0" w:rsidRPr="00162391" w:rsidRDefault="003661E0" w:rsidP="00162391">
            <w:pPr>
              <w:pStyle w:val="BodyText"/>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lang w:val="en-GB"/>
              </w:rPr>
            </w:pPr>
            <w:r w:rsidRPr="00162391">
              <w:rPr>
                <w:rFonts w:ascii="Garamond" w:hAnsi="Garamond"/>
                <w:lang w:val="en-GB"/>
              </w:rPr>
              <w:t>4,903</w:t>
            </w:r>
          </w:p>
        </w:tc>
        <w:tc>
          <w:tcPr>
            <w:tcW w:w="0" w:type="auto"/>
            <w:hideMark/>
          </w:tcPr>
          <w:p w14:paraId="428E9626" w14:textId="77777777" w:rsidR="003661E0" w:rsidRPr="00162391" w:rsidRDefault="003661E0" w:rsidP="00162391">
            <w:pPr>
              <w:pStyle w:val="BodyText"/>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lang w:val="en-GB"/>
              </w:rPr>
            </w:pPr>
            <w:r w:rsidRPr="00162391">
              <w:rPr>
                <w:rFonts w:ascii="Garamond" w:hAnsi="Garamond"/>
                <w:lang w:val="en-GB"/>
              </w:rPr>
              <w:t>39.2</w:t>
            </w:r>
          </w:p>
        </w:tc>
        <w:tc>
          <w:tcPr>
            <w:tcW w:w="0" w:type="auto"/>
            <w:hideMark/>
          </w:tcPr>
          <w:p w14:paraId="73230D2A" w14:textId="77777777" w:rsidR="003661E0" w:rsidRPr="00162391" w:rsidRDefault="003661E0" w:rsidP="00162391">
            <w:pPr>
              <w:pStyle w:val="BodyText"/>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lang w:val="en-GB"/>
              </w:rPr>
            </w:pPr>
            <w:r w:rsidRPr="00162391">
              <w:rPr>
                <w:rFonts w:ascii="Garamond" w:hAnsi="Garamond"/>
                <w:lang w:val="en-GB"/>
              </w:rPr>
              <w:t>376.31</w:t>
            </w:r>
          </w:p>
        </w:tc>
        <w:tc>
          <w:tcPr>
            <w:tcW w:w="0" w:type="auto"/>
            <w:hideMark/>
          </w:tcPr>
          <w:p w14:paraId="22BCEA89" w14:textId="77777777" w:rsidR="003661E0" w:rsidRPr="00162391" w:rsidRDefault="003661E0" w:rsidP="00162391">
            <w:pPr>
              <w:pStyle w:val="BodyText"/>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lang w:val="en-GB"/>
              </w:rPr>
            </w:pPr>
            <w:r w:rsidRPr="00162391">
              <w:rPr>
                <w:rFonts w:ascii="Garamond" w:hAnsi="Garamond"/>
                <w:lang w:val="en-GB"/>
              </w:rPr>
              <w:t>&lt; 0.001</w:t>
            </w:r>
          </w:p>
        </w:tc>
      </w:tr>
      <w:tr w:rsidR="003661E0" w:rsidRPr="00162391" w14:paraId="3F45357A" w14:textId="77777777" w:rsidTr="003661E0">
        <w:tc>
          <w:tcPr>
            <w:cnfStyle w:val="001000000000" w:firstRow="0" w:lastRow="0" w:firstColumn="1" w:lastColumn="0" w:oddVBand="0" w:evenVBand="0" w:oddHBand="0" w:evenHBand="0" w:firstRowFirstColumn="0" w:firstRowLastColumn="0" w:lastRowFirstColumn="0" w:lastRowLastColumn="0"/>
            <w:tcW w:w="0" w:type="auto"/>
            <w:hideMark/>
          </w:tcPr>
          <w:p w14:paraId="5DBE85A3" w14:textId="77777777" w:rsidR="003661E0" w:rsidRPr="00162391" w:rsidRDefault="003661E0" w:rsidP="00162391">
            <w:pPr>
              <w:pStyle w:val="BodyText"/>
              <w:spacing w:line="360" w:lineRule="auto"/>
              <w:jc w:val="both"/>
              <w:rPr>
                <w:rFonts w:ascii="Garamond" w:hAnsi="Garamond"/>
                <w:lang w:val="en-GB"/>
              </w:rPr>
            </w:pPr>
            <w:r w:rsidRPr="00162391">
              <w:rPr>
                <w:rFonts w:ascii="Garamond" w:hAnsi="Garamond"/>
                <w:lang w:val="en-GB"/>
              </w:rPr>
              <w:t>Deworming</w:t>
            </w:r>
          </w:p>
        </w:tc>
        <w:tc>
          <w:tcPr>
            <w:tcW w:w="0" w:type="auto"/>
            <w:hideMark/>
          </w:tcPr>
          <w:p w14:paraId="7119A790" w14:textId="77777777" w:rsidR="003661E0" w:rsidRPr="00162391" w:rsidRDefault="003661E0" w:rsidP="00162391">
            <w:pPr>
              <w:pStyle w:val="BodyText"/>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lang w:val="en-GB"/>
              </w:rPr>
            </w:pPr>
            <w:r w:rsidRPr="00162391">
              <w:rPr>
                <w:rFonts w:ascii="Garamond" w:hAnsi="Garamond"/>
                <w:lang w:val="en-GB"/>
              </w:rPr>
              <w:t>8,064</w:t>
            </w:r>
          </w:p>
        </w:tc>
        <w:tc>
          <w:tcPr>
            <w:tcW w:w="0" w:type="auto"/>
            <w:hideMark/>
          </w:tcPr>
          <w:p w14:paraId="003E27FE" w14:textId="77777777" w:rsidR="003661E0" w:rsidRPr="00162391" w:rsidRDefault="003661E0" w:rsidP="00162391">
            <w:pPr>
              <w:pStyle w:val="BodyText"/>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lang w:val="en-GB"/>
              </w:rPr>
            </w:pPr>
            <w:r w:rsidRPr="00162391">
              <w:rPr>
                <w:rFonts w:ascii="Garamond" w:hAnsi="Garamond"/>
                <w:lang w:val="en-GB"/>
              </w:rPr>
              <w:t>2,635</w:t>
            </w:r>
          </w:p>
        </w:tc>
        <w:tc>
          <w:tcPr>
            <w:tcW w:w="0" w:type="auto"/>
            <w:hideMark/>
          </w:tcPr>
          <w:p w14:paraId="6B90E54E" w14:textId="77777777" w:rsidR="003661E0" w:rsidRPr="00162391" w:rsidRDefault="003661E0" w:rsidP="00162391">
            <w:pPr>
              <w:pStyle w:val="BodyText"/>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lang w:val="en-GB"/>
              </w:rPr>
            </w:pPr>
            <w:r w:rsidRPr="00162391">
              <w:rPr>
                <w:rFonts w:ascii="Garamond" w:hAnsi="Garamond"/>
                <w:lang w:val="en-GB"/>
              </w:rPr>
              <w:t>5,429</w:t>
            </w:r>
          </w:p>
        </w:tc>
        <w:tc>
          <w:tcPr>
            <w:tcW w:w="0" w:type="auto"/>
            <w:hideMark/>
          </w:tcPr>
          <w:p w14:paraId="30B9DDB8" w14:textId="77777777" w:rsidR="003661E0" w:rsidRPr="00162391" w:rsidRDefault="003661E0" w:rsidP="00162391">
            <w:pPr>
              <w:pStyle w:val="BodyText"/>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lang w:val="en-GB"/>
              </w:rPr>
            </w:pPr>
            <w:r w:rsidRPr="00162391">
              <w:rPr>
                <w:rFonts w:ascii="Garamond" w:hAnsi="Garamond"/>
                <w:lang w:val="en-GB"/>
              </w:rPr>
              <w:t>32.7</w:t>
            </w:r>
          </w:p>
        </w:tc>
        <w:tc>
          <w:tcPr>
            <w:tcW w:w="0" w:type="auto"/>
            <w:hideMark/>
          </w:tcPr>
          <w:p w14:paraId="657BB1C9" w14:textId="77777777" w:rsidR="003661E0" w:rsidRPr="00162391" w:rsidRDefault="003661E0" w:rsidP="00162391">
            <w:pPr>
              <w:pStyle w:val="BodyText"/>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lang w:val="en-GB"/>
              </w:rPr>
            </w:pPr>
            <w:r w:rsidRPr="00162391">
              <w:rPr>
                <w:rFonts w:ascii="Garamond" w:hAnsi="Garamond"/>
                <w:lang w:val="en-GB"/>
              </w:rPr>
              <w:t>968.06</w:t>
            </w:r>
          </w:p>
        </w:tc>
        <w:tc>
          <w:tcPr>
            <w:tcW w:w="0" w:type="auto"/>
            <w:hideMark/>
          </w:tcPr>
          <w:p w14:paraId="556052F8" w14:textId="77777777" w:rsidR="003661E0" w:rsidRPr="00162391" w:rsidRDefault="003661E0" w:rsidP="00162391">
            <w:pPr>
              <w:pStyle w:val="BodyText"/>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lang w:val="en-GB"/>
              </w:rPr>
            </w:pPr>
            <w:r w:rsidRPr="00162391">
              <w:rPr>
                <w:rFonts w:ascii="Garamond" w:hAnsi="Garamond"/>
                <w:lang w:val="en-GB"/>
              </w:rPr>
              <w:t>&lt; 0.001</w:t>
            </w:r>
          </w:p>
        </w:tc>
      </w:tr>
      <w:tr w:rsidR="003661E0" w:rsidRPr="00162391" w14:paraId="30F6E6B1" w14:textId="77777777" w:rsidTr="00366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214C61" w14:textId="77777777" w:rsidR="003661E0" w:rsidRPr="00162391" w:rsidRDefault="003661E0" w:rsidP="00162391">
            <w:pPr>
              <w:pStyle w:val="BodyText"/>
              <w:spacing w:line="360" w:lineRule="auto"/>
              <w:jc w:val="both"/>
              <w:rPr>
                <w:rFonts w:ascii="Garamond" w:hAnsi="Garamond"/>
                <w:lang w:val="en-GB"/>
              </w:rPr>
            </w:pPr>
            <w:r w:rsidRPr="00162391">
              <w:rPr>
                <w:rFonts w:ascii="Garamond" w:hAnsi="Garamond"/>
                <w:lang w:val="en-GB"/>
              </w:rPr>
              <w:t>MUAC Screening</w:t>
            </w:r>
          </w:p>
        </w:tc>
        <w:tc>
          <w:tcPr>
            <w:tcW w:w="0" w:type="auto"/>
            <w:hideMark/>
          </w:tcPr>
          <w:p w14:paraId="617C14E1" w14:textId="77777777" w:rsidR="003661E0" w:rsidRPr="00162391" w:rsidRDefault="003661E0" w:rsidP="00162391">
            <w:pPr>
              <w:pStyle w:val="BodyText"/>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lang w:val="en-GB"/>
              </w:rPr>
            </w:pPr>
            <w:r w:rsidRPr="00162391">
              <w:rPr>
                <w:rFonts w:ascii="Garamond" w:hAnsi="Garamond"/>
                <w:lang w:val="en-GB"/>
              </w:rPr>
              <w:t>8,064</w:t>
            </w:r>
          </w:p>
        </w:tc>
        <w:tc>
          <w:tcPr>
            <w:tcW w:w="0" w:type="auto"/>
            <w:hideMark/>
          </w:tcPr>
          <w:p w14:paraId="7039EE4D" w14:textId="77777777" w:rsidR="003661E0" w:rsidRPr="00162391" w:rsidRDefault="003661E0" w:rsidP="00162391">
            <w:pPr>
              <w:pStyle w:val="BodyText"/>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lang w:val="en-GB"/>
              </w:rPr>
            </w:pPr>
            <w:r w:rsidRPr="00162391">
              <w:rPr>
                <w:rFonts w:ascii="Garamond" w:hAnsi="Garamond"/>
                <w:lang w:val="en-GB"/>
              </w:rPr>
              <w:t>1,830</w:t>
            </w:r>
          </w:p>
        </w:tc>
        <w:tc>
          <w:tcPr>
            <w:tcW w:w="0" w:type="auto"/>
            <w:hideMark/>
          </w:tcPr>
          <w:p w14:paraId="7977F5C2" w14:textId="77777777" w:rsidR="003661E0" w:rsidRPr="00162391" w:rsidRDefault="003661E0" w:rsidP="00162391">
            <w:pPr>
              <w:pStyle w:val="BodyText"/>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lang w:val="en-GB"/>
              </w:rPr>
            </w:pPr>
            <w:r w:rsidRPr="00162391">
              <w:rPr>
                <w:rFonts w:ascii="Garamond" w:hAnsi="Garamond"/>
                <w:lang w:val="en-GB"/>
              </w:rPr>
              <w:t>6,234</w:t>
            </w:r>
          </w:p>
        </w:tc>
        <w:tc>
          <w:tcPr>
            <w:tcW w:w="0" w:type="auto"/>
            <w:hideMark/>
          </w:tcPr>
          <w:p w14:paraId="0A1C0200" w14:textId="77777777" w:rsidR="003661E0" w:rsidRPr="00162391" w:rsidRDefault="003661E0" w:rsidP="00162391">
            <w:pPr>
              <w:pStyle w:val="BodyText"/>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lang w:val="en-GB"/>
              </w:rPr>
            </w:pPr>
            <w:r w:rsidRPr="00162391">
              <w:rPr>
                <w:rFonts w:ascii="Garamond" w:hAnsi="Garamond"/>
                <w:lang w:val="en-GB"/>
              </w:rPr>
              <w:t>22.7</w:t>
            </w:r>
          </w:p>
        </w:tc>
        <w:tc>
          <w:tcPr>
            <w:tcW w:w="0" w:type="auto"/>
            <w:hideMark/>
          </w:tcPr>
          <w:p w14:paraId="6F856A7A" w14:textId="77777777" w:rsidR="003661E0" w:rsidRPr="00162391" w:rsidRDefault="003661E0" w:rsidP="00162391">
            <w:pPr>
              <w:pStyle w:val="BodyText"/>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lang w:val="en-GB"/>
              </w:rPr>
            </w:pPr>
            <w:r w:rsidRPr="00162391">
              <w:rPr>
                <w:rFonts w:ascii="Garamond" w:hAnsi="Garamond"/>
                <w:lang w:val="en-GB"/>
              </w:rPr>
              <w:t>2,405.16</w:t>
            </w:r>
          </w:p>
        </w:tc>
        <w:tc>
          <w:tcPr>
            <w:tcW w:w="0" w:type="auto"/>
            <w:hideMark/>
          </w:tcPr>
          <w:p w14:paraId="6C52B82A" w14:textId="77777777" w:rsidR="003661E0" w:rsidRPr="00162391" w:rsidRDefault="003661E0" w:rsidP="00162391">
            <w:pPr>
              <w:pStyle w:val="BodyText"/>
              <w:spacing w:line="360" w:lineRule="auto"/>
              <w:jc w:val="both"/>
              <w:cnfStyle w:val="000000100000" w:firstRow="0" w:lastRow="0" w:firstColumn="0" w:lastColumn="0" w:oddVBand="0" w:evenVBand="0" w:oddHBand="1" w:evenHBand="0" w:firstRowFirstColumn="0" w:firstRowLastColumn="0" w:lastRowFirstColumn="0" w:lastRowLastColumn="0"/>
              <w:rPr>
                <w:rFonts w:ascii="Garamond" w:hAnsi="Garamond"/>
                <w:lang w:val="en-GB"/>
              </w:rPr>
            </w:pPr>
            <w:r w:rsidRPr="00162391">
              <w:rPr>
                <w:rFonts w:ascii="Garamond" w:hAnsi="Garamond"/>
                <w:lang w:val="en-GB"/>
              </w:rPr>
              <w:t>&lt; 0.001</w:t>
            </w:r>
          </w:p>
        </w:tc>
      </w:tr>
      <w:tr w:rsidR="003661E0" w:rsidRPr="00162391" w14:paraId="557A805D" w14:textId="77777777" w:rsidTr="003661E0">
        <w:tc>
          <w:tcPr>
            <w:cnfStyle w:val="001000000000" w:firstRow="0" w:lastRow="0" w:firstColumn="1" w:lastColumn="0" w:oddVBand="0" w:evenVBand="0" w:oddHBand="0" w:evenHBand="0" w:firstRowFirstColumn="0" w:firstRowLastColumn="0" w:lastRowFirstColumn="0" w:lastRowLastColumn="0"/>
            <w:tcW w:w="0" w:type="auto"/>
            <w:hideMark/>
          </w:tcPr>
          <w:p w14:paraId="0AFCD232" w14:textId="77777777" w:rsidR="003661E0" w:rsidRPr="00162391" w:rsidRDefault="003661E0" w:rsidP="00162391">
            <w:pPr>
              <w:pStyle w:val="BodyText"/>
              <w:spacing w:line="360" w:lineRule="auto"/>
              <w:jc w:val="both"/>
              <w:rPr>
                <w:rFonts w:ascii="Garamond" w:hAnsi="Garamond"/>
                <w:lang w:val="en-GB"/>
              </w:rPr>
            </w:pPr>
            <w:r w:rsidRPr="00162391">
              <w:rPr>
                <w:rFonts w:ascii="Garamond" w:hAnsi="Garamond"/>
                <w:lang w:val="en-GB"/>
              </w:rPr>
              <w:t>Routine Immunization</w:t>
            </w:r>
          </w:p>
        </w:tc>
        <w:tc>
          <w:tcPr>
            <w:tcW w:w="0" w:type="auto"/>
            <w:hideMark/>
          </w:tcPr>
          <w:p w14:paraId="20187CFE" w14:textId="77777777" w:rsidR="003661E0" w:rsidRPr="00162391" w:rsidRDefault="003661E0" w:rsidP="00162391">
            <w:pPr>
              <w:pStyle w:val="BodyText"/>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lang w:val="en-GB"/>
              </w:rPr>
            </w:pPr>
            <w:r w:rsidRPr="00162391">
              <w:rPr>
                <w:rFonts w:ascii="Garamond" w:hAnsi="Garamond"/>
                <w:lang w:val="en-GB"/>
              </w:rPr>
              <w:t>656</w:t>
            </w:r>
          </w:p>
        </w:tc>
        <w:tc>
          <w:tcPr>
            <w:tcW w:w="0" w:type="auto"/>
            <w:hideMark/>
          </w:tcPr>
          <w:p w14:paraId="667FD1EC" w14:textId="77777777" w:rsidR="003661E0" w:rsidRPr="00162391" w:rsidRDefault="003661E0" w:rsidP="00162391">
            <w:pPr>
              <w:pStyle w:val="BodyText"/>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lang w:val="en-GB"/>
              </w:rPr>
            </w:pPr>
            <w:r w:rsidRPr="00162391">
              <w:rPr>
                <w:rFonts w:ascii="Garamond" w:hAnsi="Garamond"/>
                <w:lang w:val="en-GB"/>
              </w:rPr>
              <w:t>438</w:t>
            </w:r>
          </w:p>
        </w:tc>
        <w:tc>
          <w:tcPr>
            <w:tcW w:w="0" w:type="auto"/>
            <w:hideMark/>
          </w:tcPr>
          <w:p w14:paraId="50A526AC" w14:textId="77777777" w:rsidR="003661E0" w:rsidRPr="00162391" w:rsidRDefault="003661E0" w:rsidP="00162391">
            <w:pPr>
              <w:pStyle w:val="BodyText"/>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lang w:val="en-GB"/>
              </w:rPr>
            </w:pPr>
            <w:r w:rsidRPr="00162391">
              <w:rPr>
                <w:rFonts w:ascii="Garamond" w:hAnsi="Garamond"/>
                <w:lang w:val="en-GB"/>
              </w:rPr>
              <w:t>218</w:t>
            </w:r>
          </w:p>
        </w:tc>
        <w:tc>
          <w:tcPr>
            <w:tcW w:w="0" w:type="auto"/>
            <w:hideMark/>
          </w:tcPr>
          <w:p w14:paraId="6AC96973" w14:textId="77777777" w:rsidR="003661E0" w:rsidRPr="00162391" w:rsidRDefault="003661E0" w:rsidP="00162391">
            <w:pPr>
              <w:pStyle w:val="BodyText"/>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lang w:val="en-GB"/>
              </w:rPr>
            </w:pPr>
            <w:r w:rsidRPr="00162391">
              <w:rPr>
                <w:rFonts w:ascii="Garamond" w:hAnsi="Garamond"/>
                <w:lang w:val="en-GB"/>
              </w:rPr>
              <w:t>66.8</w:t>
            </w:r>
          </w:p>
        </w:tc>
        <w:tc>
          <w:tcPr>
            <w:tcW w:w="0" w:type="auto"/>
            <w:hideMark/>
          </w:tcPr>
          <w:p w14:paraId="4BDF603B" w14:textId="77777777" w:rsidR="003661E0" w:rsidRPr="00162391" w:rsidRDefault="003661E0" w:rsidP="00162391">
            <w:pPr>
              <w:pStyle w:val="BodyText"/>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lang w:val="en-GB"/>
              </w:rPr>
            </w:pPr>
            <w:r w:rsidRPr="00162391">
              <w:rPr>
                <w:rFonts w:ascii="Garamond" w:hAnsi="Garamond"/>
                <w:lang w:val="en-GB"/>
              </w:rPr>
              <w:t>73.78</w:t>
            </w:r>
          </w:p>
        </w:tc>
        <w:tc>
          <w:tcPr>
            <w:tcW w:w="0" w:type="auto"/>
            <w:hideMark/>
          </w:tcPr>
          <w:p w14:paraId="537B9039" w14:textId="77777777" w:rsidR="003661E0" w:rsidRPr="00162391" w:rsidRDefault="003661E0" w:rsidP="00162391">
            <w:pPr>
              <w:pStyle w:val="BodyText"/>
              <w:spacing w:line="360" w:lineRule="auto"/>
              <w:jc w:val="both"/>
              <w:cnfStyle w:val="000000000000" w:firstRow="0" w:lastRow="0" w:firstColumn="0" w:lastColumn="0" w:oddVBand="0" w:evenVBand="0" w:oddHBand="0" w:evenHBand="0" w:firstRowFirstColumn="0" w:firstRowLastColumn="0" w:lastRowFirstColumn="0" w:lastRowLastColumn="0"/>
              <w:rPr>
                <w:rFonts w:ascii="Garamond" w:hAnsi="Garamond"/>
                <w:lang w:val="en-GB"/>
              </w:rPr>
            </w:pPr>
            <w:r w:rsidRPr="00162391">
              <w:rPr>
                <w:rFonts w:ascii="Garamond" w:hAnsi="Garamond"/>
                <w:lang w:val="en-GB"/>
              </w:rPr>
              <w:t>&lt; 0.001</w:t>
            </w:r>
          </w:p>
        </w:tc>
      </w:tr>
    </w:tbl>
    <w:p w14:paraId="7D4761C4" w14:textId="77777777" w:rsidR="00C145E6" w:rsidRDefault="00C145E6" w:rsidP="00100F11">
      <w:pPr>
        <w:pStyle w:val="BodyText"/>
        <w:spacing w:line="360" w:lineRule="auto"/>
        <w:jc w:val="both"/>
        <w:rPr>
          <w:rFonts w:ascii="Garamond" w:hAnsi="Garamond"/>
          <w:lang w:val="en-GB"/>
        </w:rPr>
      </w:pPr>
    </w:p>
    <w:p w14:paraId="631D422B" w14:textId="22B89829" w:rsidR="003661E0" w:rsidRPr="005871E7" w:rsidRDefault="003661E0" w:rsidP="003661E0">
      <w:pPr>
        <w:pStyle w:val="Heading2"/>
        <w:spacing w:line="360" w:lineRule="auto"/>
        <w:jc w:val="both"/>
        <w:rPr>
          <w:rFonts w:ascii="Garamond" w:hAnsi="Garamond"/>
        </w:rPr>
      </w:pPr>
      <w:r w:rsidRPr="005871E7">
        <w:rPr>
          <w:rFonts w:ascii="Garamond" w:hAnsi="Garamond"/>
        </w:rPr>
        <w:lastRenderedPageBreak/>
        <w:t>Coverage of Child Health Interventions Across LGAs</w:t>
      </w:r>
    </w:p>
    <w:p w14:paraId="7480562B" w14:textId="77777777" w:rsidR="003661E0" w:rsidRPr="005871E7" w:rsidRDefault="003661E0" w:rsidP="003661E0">
      <w:pPr>
        <w:pStyle w:val="FirstParagraph"/>
        <w:spacing w:line="360" w:lineRule="auto"/>
        <w:jc w:val="both"/>
        <w:rPr>
          <w:rFonts w:ascii="Garamond" w:hAnsi="Garamond"/>
        </w:rPr>
      </w:pPr>
      <w:r w:rsidRPr="005871E7">
        <w:rPr>
          <w:rFonts w:ascii="Garamond" w:hAnsi="Garamond"/>
        </w:rPr>
        <w:t>The presented table summarizes the coverage rates of four essential child health interventions, Vitamin A Supplementation (VAS), Deworming, Mid-Upper Arm Circumference (MUAC) screening, and Immunization, across 20 Local Government Areas (LGAs) in Bauchi State.</w:t>
      </w:r>
    </w:p>
    <w:p w14:paraId="7A7694B2" w14:textId="77777777" w:rsidR="003661E0" w:rsidRPr="005871E7" w:rsidRDefault="003661E0" w:rsidP="003661E0">
      <w:pPr>
        <w:pStyle w:val="BodyText"/>
        <w:spacing w:line="360" w:lineRule="auto"/>
        <w:jc w:val="both"/>
        <w:rPr>
          <w:rFonts w:ascii="Garamond" w:hAnsi="Garamond"/>
        </w:rPr>
      </w:pPr>
      <w:r w:rsidRPr="005871E7">
        <w:rPr>
          <w:rFonts w:ascii="Garamond" w:hAnsi="Garamond"/>
        </w:rPr>
        <w:t xml:space="preserve">A notable feature of the data is the marked variability in coverage rates between LGAs for all four interventions. Coverage of VAS ranges widely, from as low as 12% in </w:t>
      </w:r>
      <w:proofErr w:type="spellStart"/>
      <w:r w:rsidRPr="005871E7">
        <w:rPr>
          <w:rFonts w:ascii="Garamond" w:hAnsi="Garamond"/>
        </w:rPr>
        <w:t>Gamawa</w:t>
      </w:r>
      <w:proofErr w:type="spellEnd"/>
      <w:r w:rsidRPr="005871E7">
        <w:rPr>
          <w:rFonts w:ascii="Garamond" w:hAnsi="Garamond"/>
        </w:rPr>
        <w:t xml:space="preserve"> to as high as 67% in </w:t>
      </w:r>
      <w:proofErr w:type="spellStart"/>
      <w:r w:rsidRPr="005871E7">
        <w:rPr>
          <w:rFonts w:ascii="Garamond" w:hAnsi="Garamond"/>
        </w:rPr>
        <w:t>Darazo</w:t>
      </w:r>
      <w:proofErr w:type="spellEnd"/>
      <w:r w:rsidRPr="005871E7">
        <w:rPr>
          <w:rFonts w:ascii="Garamond" w:hAnsi="Garamond"/>
        </w:rPr>
        <w:t xml:space="preserve">. Several LGAs, such as </w:t>
      </w:r>
      <w:proofErr w:type="spellStart"/>
      <w:r w:rsidRPr="005871E7">
        <w:rPr>
          <w:rFonts w:ascii="Garamond" w:hAnsi="Garamond"/>
        </w:rPr>
        <w:t>Darazo</w:t>
      </w:r>
      <w:proofErr w:type="spellEnd"/>
      <w:r w:rsidRPr="005871E7">
        <w:rPr>
          <w:rFonts w:ascii="Garamond" w:hAnsi="Garamond"/>
        </w:rPr>
        <w:t xml:space="preserve">, Dass, </w:t>
      </w:r>
      <w:proofErr w:type="spellStart"/>
      <w:r w:rsidRPr="005871E7">
        <w:rPr>
          <w:rFonts w:ascii="Garamond" w:hAnsi="Garamond"/>
        </w:rPr>
        <w:t>Giade</w:t>
      </w:r>
      <w:proofErr w:type="spellEnd"/>
      <w:r w:rsidRPr="005871E7">
        <w:rPr>
          <w:rFonts w:ascii="Garamond" w:hAnsi="Garamond"/>
        </w:rPr>
        <w:t xml:space="preserve">, Toro, and Bauchi, exceed 50% VAS coverage, whereas LGAs like </w:t>
      </w:r>
      <w:proofErr w:type="spellStart"/>
      <w:r w:rsidRPr="005871E7">
        <w:rPr>
          <w:rFonts w:ascii="Garamond" w:hAnsi="Garamond"/>
        </w:rPr>
        <w:t>Gamawa</w:t>
      </w:r>
      <w:proofErr w:type="spellEnd"/>
      <w:r w:rsidRPr="005871E7">
        <w:rPr>
          <w:rFonts w:ascii="Garamond" w:hAnsi="Garamond"/>
        </w:rPr>
        <w:t xml:space="preserve">, </w:t>
      </w:r>
      <w:proofErr w:type="spellStart"/>
      <w:r w:rsidRPr="005871E7">
        <w:rPr>
          <w:rFonts w:ascii="Garamond" w:hAnsi="Garamond"/>
        </w:rPr>
        <w:t>Katagum</w:t>
      </w:r>
      <w:proofErr w:type="spellEnd"/>
      <w:r w:rsidRPr="005871E7">
        <w:rPr>
          <w:rFonts w:ascii="Garamond" w:hAnsi="Garamond"/>
        </w:rPr>
        <w:t xml:space="preserve">, Shira, and </w:t>
      </w:r>
      <w:proofErr w:type="spellStart"/>
      <w:r w:rsidRPr="005871E7">
        <w:rPr>
          <w:rFonts w:ascii="Garamond" w:hAnsi="Garamond"/>
        </w:rPr>
        <w:t>Jama’are</w:t>
      </w:r>
      <w:proofErr w:type="spellEnd"/>
      <w:r w:rsidRPr="005871E7">
        <w:rPr>
          <w:rFonts w:ascii="Garamond" w:hAnsi="Garamond"/>
        </w:rPr>
        <w:t xml:space="preserve"> report coverage rates below 30%. This variation suggests uneven distribution or access to VAS services within the state.</w:t>
      </w:r>
    </w:p>
    <w:p w14:paraId="32337237" w14:textId="77777777" w:rsidR="003661E0" w:rsidRPr="005871E7" w:rsidRDefault="003661E0" w:rsidP="003661E0">
      <w:pPr>
        <w:pStyle w:val="BodyText"/>
        <w:spacing w:line="360" w:lineRule="auto"/>
        <w:jc w:val="both"/>
        <w:rPr>
          <w:rFonts w:ascii="Garamond" w:hAnsi="Garamond"/>
        </w:rPr>
      </w:pPr>
      <w:r w:rsidRPr="005871E7">
        <w:rPr>
          <w:rFonts w:ascii="Garamond" w:hAnsi="Garamond"/>
        </w:rPr>
        <w:t xml:space="preserve">Deworming coverage follows a broadly similar pattern to VAS, with rates highest in </w:t>
      </w:r>
      <w:proofErr w:type="spellStart"/>
      <w:r w:rsidRPr="005871E7">
        <w:rPr>
          <w:rFonts w:ascii="Garamond" w:hAnsi="Garamond"/>
        </w:rPr>
        <w:t>Darazo</w:t>
      </w:r>
      <w:proofErr w:type="spellEnd"/>
      <w:r w:rsidRPr="005871E7">
        <w:rPr>
          <w:rFonts w:ascii="Garamond" w:hAnsi="Garamond"/>
        </w:rPr>
        <w:t xml:space="preserve"> (57%), Bauchi (41%), and </w:t>
      </w:r>
      <w:proofErr w:type="spellStart"/>
      <w:r w:rsidRPr="005871E7">
        <w:rPr>
          <w:rFonts w:ascii="Garamond" w:hAnsi="Garamond"/>
        </w:rPr>
        <w:t>Bogoro</w:t>
      </w:r>
      <w:proofErr w:type="spellEnd"/>
      <w:r w:rsidRPr="005871E7">
        <w:rPr>
          <w:rFonts w:ascii="Garamond" w:hAnsi="Garamond"/>
        </w:rPr>
        <w:t xml:space="preserve"> (41%), and lowest in </w:t>
      </w:r>
      <w:proofErr w:type="spellStart"/>
      <w:r w:rsidRPr="005871E7">
        <w:rPr>
          <w:rFonts w:ascii="Garamond" w:hAnsi="Garamond"/>
        </w:rPr>
        <w:t>Katagum</w:t>
      </w:r>
      <w:proofErr w:type="spellEnd"/>
      <w:r w:rsidRPr="005871E7">
        <w:rPr>
          <w:rFonts w:ascii="Garamond" w:hAnsi="Garamond"/>
        </w:rPr>
        <w:t xml:space="preserve"> (11%), </w:t>
      </w:r>
      <w:proofErr w:type="spellStart"/>
      <w:r w:rsidRPr="005871E7">
        <w:rPr>
          <w:rFonts w:ascii="Garamond" w:hAnsi="Garamond"/>
        </w:rPr>
        <w:t>Jama’are</w:t>
      </w:r>
      <w:proofErr w:type="spellEnd"/>
      <w:r w:rsidRPr="005871E7">
        <w:rPr>
          <w:rFonts w:ascii="Garamond" w:hAnsi="Garamond"/>
        </w:rPr>
        <w:t xml:space="preserve"> (17%), and Shira (21%). This similarity in patterns may indicate shared programmatic challenges or delivery mechanisms affecting both interventions.</w:t>
      </w:r>
    </w:p>
    <w:p w14:paraId="7AB18410" w14:textId="77777777" w:rsidR="003661E0" w:rsidRPr="005871E7" w:rsidRDefault="003661E0" w:rsidP="003661E0">
      <w:pPr>
        <w:pStyle w:val="BodyText"/>
        <w:spacing w:line="360" w:lineRule="auto"/>
        <w:jc w:val="both"/>
        <w:rPr>
          <w:rFonts w:ascii="Garamond" w:hAnsi="Garamond"/>
        </w:rPr>
      </w:pPr>
      <w:r w:rsidRPr="005871E7">
        <w:rPr>
          <w:rFonts w:ascii="Garamond" w:hAnsi="Garamond"/>
        </w:rPr>
        <w:t xml:space="preserve">MUAC screening coverage is consistently the lowest among the four interventions across most LGAs. The highest MUAC screening is observed in </w:t>
      </w:r>
      <w:proofErr w:type="spellStart"/>
      <w:r w:rsidRPr="005871E7">
        <w:rPr>
          <w:rFonts w:ascii="Garamond" w:hAnsi="Garamond"/>
        </w:rPr>
        <w:t>Darazo</w:t>
      </w:r>
      <w:proofErr w:type="spellEnd"/>
      <w:r w:rsidRPr="005871E7">
        <w:rPr>
          <w:rFonts w:ascii="Garamond" w:hAnsi="Garamond"/>
        </w:rPr>
        <w:t xml:space="preserve"> (51%), Bauchi (41%), and Toro (33%). In contrast, LGAs such as Itas/Gadau, </w:t>
      </w:r>
      <w:proofErr w:type="spellStart"/>
      <w:r w:rsidRPr="005871E7">
        <w:rPr>
          <w:rFonts w:ascii="Garamond" w:hAnsi="Garamond"/>
        </w:rPr>
        <w:t>Katagum</w:t>
      </w:r>
      <w:proofErr w:type="spellEnd"/>
      <w:r w:rsidRPr="005871E7">
        <w:rPr>
          <w:rFonts w:ascii="Garamond" w:hAnsi="Garamond"/>
        </w:rPr>
        <w:t xml:space="preserve">, Shira, </w:t>
      </w:r>
      <w:proofErr w:type="spellStart"/>
      <w:r w:rsidRPr="005871E7">
        <w:rPr>
          <w:rFonts w:ascii="Garamond" w:hAnsi="Garamond"/>
        </w:rPr>
        <w:t>Ningi</w:t>
      </w:r>
      <w:proofErr w:type="spellEnd"/>
      <w:r w:rsidRPr="005871E7">
        <w:rPr>
          <w:rFonts w:ascii="Garamond" w:hAnsi="Garamond"/>
        </w:rPr>
        <w:t xml:space="preserve">, and </w:t>
      </w:r>
      <w:proofErr w:type="spellStart"/>
      <w:r w:rsidRPr="005871E7">
        <w:rPr>
          <w:rFonts w:ascii="Garamond" w:hAnsi="Garamond"/>
        </w:rPr>
        <w:t>Gamawa</w:t>
      </w:r>
      <w:proofErr w:type="spellEnd"/>
      <w:r w:rsidRPr="005871E7">
        <w:rPr>
          <w:rFonts w:ascii="Garamond" w:hAnsi="Garamond"/>
        </w:rPr>
        <w:t xml:space="preserve"> report coverage below 15%, indicating limited implementation of nutrition assessment activities in these areas.</w:t>
      </w:r>
    </w:p>
    <w:p w14:paraId="07246316" w14:textId="77777777" w:rsidR="003661E0" w:rsidRPr="005871E7" w:rsidRDefault="003661E0" w:rsidP="003661E0">
      <w:pPr>
        <w:pStyle w:val="BodyText"/>
        <w:spacing w:line="360" w:lineRule="auto"/>
        <w:jc w:val="both"/>
        <w:rPr>
          <w:rFonts w:ascii="Garamond" w:hAnsi="Garamond"/>
        </w:rPr>
      </w:pPr>
      <w:r w:rsidRPr="005871E7">
        <w:rPr>
          <w:rFonts w:ascii="Garamond" w:hAnsi="Garamond"/>
        </w:rPr>
        <w:t xml:space="preserve">Immunization coverage demonstrates the widest range of all interventions. </w:t>
      </w:r>
      <w:proofErr w:type="spellStart"/>
      <w:r w:rsidRPr="005871E7">
        <w:rPr>
          <w:rFonts w:ascii="Garamond" w:hAnsi="Garamond"/>
        </w:rPr>
        <w:t>Katagum</w:t>
      </w:r>
      <w:proofErr w:type="spellEnd"/>
      <w:r w:rsidRPr="005871E7">
        <w:rPr>
          <w:rFonts w:ascii="Garamond" w:hAnsi="Garamond"/>
        </w:rPr>
        <w:t xml:space="preserve">, </w:t>
      </w:r>
      <w:proofErr w:type="spellStart"/>
      <w:r w:rsidRPr="005871E7">
        <w:rPr>
          <w:rFonts w:ascii="Garamond" w:hAnsi="Garamond"/>
        </w:rPr>
        <w:t>Alkaleri</w:t>
      </w:r>
      <w:proofErr w:type="spellEnd"/>
      <w:r w:rsidRPr="005871E7">
        <w:rPr>
          <w:rFonts w:ascii="Garamond" w:hAnsi="Garamond"/>
        </w:rPr>
        <w:t xml:space="preserve">, DAMBAM, and </w:t>
      </w:r>
      <w:proofErr w:type="spellStart"/>
      <w:r w:rsidRPr="005871E7">
        <w:rPr>
          <w:rFonts w:ascii="Garamond" w:hAnsi="Garamond"/>
        </w:rPr>
        <w:t>Ningi</w:t>
      </w:r>
      <w:proofErr w:type="spellEnd"/>
      <w:r w:rsidRPr="005871E7">
        <w:rPr>
          <w:rFonts w:ascii="Garamond" w:hAnsi="Garamond"/>
        </w:rPr>
        <w:t xml:space="preserve"> show very high coverage rates, exceeding 90%. In sharp contrast, </w:t>
      </w:r>
      <w:proofErr w:type="spellStart"/>
      <w:r w:rsidRPr="005871E7">
        <w:rPr>
          <w:rFonts w:ascii="Garamond" w:hAnsi="Garamond"/>
        </w:rPr>
        <w:t>Jama’are</w:t>
      </w:r>
      <w:proofErr w:type="spellEnd"/>
      <w:r w:rsidRPr="005871E7">
        <w:rPr>
          <w:rFonts w:ascii="Garamond" w:hAnsi="Garamond"/>
        </w:rPr>
        <w:t xml:space="preserve"> (9%), Itas/Gadau (29%), </w:t>
      </w:r>
      <w:proofErr w:type="spellStart"/>
      <w:r w:rsidRPr="005871E7">
        <w:rPr>
          <w:rFonts w:ascii="Garamond" w:hAnsi="Garamond"/>
        </w:rPr>
        <w:t>Ganjuwa</w:t>
      </w:r>
      <w:proofErr w:type="spellEnd"/>
      <w:r w:rsidRPr="005871E7">
        <w:rPr>
          <w:rFonts w:ascii="Garamond" w:hAnsi="Garamond"/>
        </w:rPr>
        <w:t xml:space="preserve"> (38%), and Zaki (45%) display notably lower immunization coverage. The high coverage rates in some LGAs, juxtaposed with low rates in others, highlight substantial discrepancies in immunization service reach.</w:t>
      </w:r>
    </w:p>
    <w:p w14:paraId="19F9ED7B" w14:textId="77777777" w:rsidR="003661E0" w:rsidRPr="005871E7" w:rsidRDefault="003661E0" w:rsidP="003661E0">
      <w:pPr>
        <w:pStyle w:val="BodyText"/>
        <w:spacing w:line="360" w:lineRule="auto"/>
        <w:jc w:val="both"/>
        <w:rPr>
          <w:rFonts w:ascii="Garamond" w:hAnsi="Garamond"/>
        </w:rPr>
      </w:pPr>
      <w:r w:rsidRPr="005871E7">
        <w:rPr>
          <w:rFonts w:ascii="Garamond" w:hAnsi="Garamond"/>
        </w:rPr>
        <w:t xml:space="preserve">Comparatively, some LGAs, including </w:t>
      </w:r>
      <w:proofErr w:type="spellStart"/>
      <w:r w:rsidRPr="005871E7">
        <w:rPr>
          <w:rFonts w:ascii="Garamond" w:hAnsi="Garamond"/>
        </w:rPr>
        <w:t>Darazo</w:t>
      </w:r>
      <w:proofErr w:type="spellEnd"/>
      <w:r w:rsidRPr="005871E7">
        <w:rPr>
          <w:rFonts w:ascii="Garamond" w:hAnsi="Garamond"/>
        </w:rPr>
        <w:t xml:space="preserve">, Bauchi, and </w:t>
      </w:r>
      <w:proofErr w:type="spellStart"/>
      <w:r w:rsidRPr="005871E7">
        <w:rPr>
          <w:rFonts w:ascii="Garamond" w:hAnsi="Garamond"/>
        </w:rPr>
        <w:t>Alkaleri</w:t>
      </w:r>
      <w:proofErr w:type="spellEnd"/>
      <w:r w:rsidRPr="005871E7">
        <w:rPr>
          <w:rFonts w:ascii="Garamond" w:hAnsi="Garamond"/>
        </w:rPr>
        <w:t xml:space="preserve">, exhibit relatively high coverage across multiple interventions, suggesting more robust service delivery in these locations. Conversely, LGAs such as </w:t>
      </w:r>
      <w:proofErr w:type="spellStart"/>
      <w:r w:rsidRPr="005871E7">
        <w:rPr>
          <w:rFonts w:ascii="Garamond" w:hAnsi="Garamond"/>
        </w:rPr>
        <w:t>Katagum</w:t>
      </w:r>
      <w:proofErr w:type="spellEnd"/>
      <w:r w:rsidRPr="005871E7">
        <w:rPr>
          <w:rFonts w:ascii="Garamond" w:hAnsi="Garamond"/>
        </w:rPr>
        <w:t xml:space="preserve">, </w:t>
      </w:r>
      <w:proofErr w:type="spellStart"/>
      <w:r w:rsidRPr="005871E7">
        <w:rPr>
          <w:rFonts w:ascii="Garamond" w:hAnsi="Garamond"/>
        </w:rPr>
        <w:t>Jama’are</w:t>
      </w:r>
      <w:proofErr w:type="spellEnd"/>
      <w:r w:rsidRPr="005871E7">
        <w:rPr>
          <w:rFonts w:ascii="Garamond" w:hAnsi="Garamond"/>
        </w:rPr>
        <w:t xml:space="preserve">, Shira, and </w:t>
      </w:r>
      <w:proofErr w:type="spellStart"/>
      <w:r w:rsidRPr="005871E7">
        <w:rPr>
          <w:rFonts w:ascii="Garamond" w:hAnsi="Garamond"/>
        </w:rPr>
        <w:t>Gamawa</w:t>
      </w:r>
      <w:proofErr w:type="spellEnd"/>
      <w:r w:rsidRPr="005871E7">
        <w:rPr>
          <w:rFonts w:ascii="Garamond" w:hAnsi="Garamond"/>
        </w:rPr>
        <w:t xml:space="preserve"> consistently rank lower, particularly in VAS, Deworming, and MUAC coverage. Interestingly, immunization coverage in some LGAs, such as </w:t>
      </w:r>
      <w:proofErr w:type="spellStart"/>
      <w:r w:rsidRPr="005871E7">
        <w:rPr>
          <w:rFonts w:ascii="Garamond" w:hAnsi="Garamond"/>
        </w:rPr>
        <w:t>Katagum</w:t>
      </w:r>
      <w:proofErr w:type="spellEnd"/>
      <w:r w:rsidRPr="005871E7">
        <w:rPr>
          <w:rFonts w:ascii="Garamond" w:hAnsi="Garamond"/>
        </w:rPr>
        <w:t>, diverges significantly from the trends observed in the other interventions, suggesting the possibility of differing delivery strategies or program emphases.</w:t>
      </w:r>
    </w:p>
    <w:tbl>
      <w:tblPr>
        <w:tblStyle w:val="PlainTable5"/>
        <w:tblW w:w="4493" w:type="pct"/>
        <w:tblLayout w:type="fixed"/>
        <w:tblLook w:val="0420" w:firstRow="1" w:lastRow="0" w:firstColumn="0" w:lastColumn="0" w:noHBand="0" w:noVBand="1"/>
      </w:tblPr>
      <w:tblGrid>
        <w:gridCol w:w="2360"/>
        <w:gridCol w:w="971"/>
        <w:gridCol w:w="1527"/>
        <w:gridCol w:w="1111"/>
        <w:gridCol w:w="1943"/>
        <w:gridCol w:w="693"/>
      </w:tblGrid>
      <w:tr w:rsidR="003661E0" w:rsidRPr="005871E7" w14:paraId="78604E27" w14:textId="77777777" w:rsidTr="003661E0">
        <w:trPr>
          <w:cnfStyle w:val="100000000000" w:firstRow="1" w:lastRow="0" w:firstColumn="0" w:lastColumn="0" w:oddVBand="0" w:evenVBand="0" w:oddHBand="0" w:evenHBand="0" w:firstRowFirstColumn="0" w:firstRowLastColumn="0" w:lastRowFirstColumn="0" w:lastRowLastColumn="0"/>
        </w:trPr>
        <w:tc>
          <w:tcPr>
            <w:tcW w:w="2360" w:type="dxa"/>
          </w:tcPr>
          <w:p w14:paraId="24183AC9"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lastRenderedPageBreak/>
              <w:t>LGA</w:t>
            </w:r>
          </w:p>
        </w:tc>
        <w:tc>
          <w:tcPr>
            <w:tcW w:w="971" w:type="dxa"/>
          </w:tcPr>
          <w:p w14:paraId="50940636"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VAS</w:t>
            </w:r>
          </w:p>
        </w:tc>
        <w:tc>
          <w:tcPr>
            <w:tcW w:w="1527" w:type="dxa"/>
          </w:tcPr>
          <w:p w14:paraId="59BF339C"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Deworming</w:t>
            </w:r>
          </w:p>
        </w:tc>
        <w:tc>
          <w:tcPr>
            <w:tcW w:w="1111" w:type="dxa"/>
          </w:tcPr>
          <w:p w14:paraId="172BDA64"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MUAC</w:t>
            </w:r>
          </w:p>
        </w:tc>
        <w:tc>
          <w:tcPr>
            <w:tcW w:w="1943" w:type="dxa"/>
          </w:tcPr>
          <w:p w14:paraId="0865E554"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Immunization</w:t>
            </w:r>
          </w:p>
        </w:tc>
        <w:tc>
          <w:tcPr>
            <w:tcW w:w="693" w:type="dxa"/>
          </w:tcPr>
          <w:p w14:paraId="63275E7A"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n</w:t>
            </w:r>
          </w:p>
        </w:tc>
      </w:tr>
      <w:tr w:rsidR="003661E0" w:rsidRPr="005871E7" w14:paraId="7FED0E57" w14:textId="77777777" w:rsidTr="003661E0">
        <w:trPr>
          <w:cnfStyle w:val="000000100000" w:firstRow="0" w:lastRow="0" w:firstColumn="0" w:lastColumn="0" w:oddVBand="0" w:evenVBand="0" w:oddHBand="1" w:evenHBand="0" w:firstRowFirstColumn="0" w:firstRowLastColumn="0" w:lastRowFirstColumn="0" w:lastRowLastColumn="0"/>
        </w:trPr>
        <w:tc>
          <w:tcPr>
            <w:tcW w:w="2360" w:type="dxa"/>
          </w:tcPr>
          <w:p w14:paraId="21A31439" w14:textId="77777777" w:rsidR="003661E0" w:rsidRPr="005871E7" w:rsidRDefault="003661E0" w:rsidP="002C3392">
            <w:pPr>
              <w:pStyle w:val="Compact"/>
              <w:spacing w:line="360" w:lineRule="auto"/>
              <w:jc w:val="both"/>
              <w:rPr>
                <w:rFonts w:ascii="Garamond" w:hAnsi="Garamond"/>
              </w:rPr>
            </w:pPr>
            <w:proofErr w:type="spellStart"/>
            <w:r w:rsidRPr="005871E7">
              <w:rPr>
                <w:rFonts w:ascii="Garamond" w:hAnsi="Garamond"/>
              </w:rPr>
              <w:t>Alkaleri</w:t>
            </w:r>
            <w:proofErr w:type="spellEnd"/>
          </w:p>
        </w:tc>
        <w:tc>
          <w:tcPr>
            <w:tcW w:w="971" w:type="dxa"/>
          </w:tcPr>
          <w:p w14:paraId="084B9179"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0.423</w:t>
            </w:r>
          </w:p>
        </w:tc>
        <w:tc>
          <w:tcPr>
            <w:tcW w:w="1527" w:type="dxa"/>
          </w:tcPr>
          <w:p w14:paraId="56187C5D"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0.357</w:t>
            </w:r>
          </w:p>
        </w:tc>
        <w:tc>
          <w:tcPr>
            <w:tcW w:w="1111" w:type="dxa"/>
          </w:tcPr>
          <w:p w14:paraId="0467D87A"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0.265</w:t>
            </w:r>
          </w:p>
        </w:tc>
        <w:tc>
          <w:tcPr>
            <w:tcW w:w="1943" w:type="dxa"/>
          </w:tcPr>
          <w:p w14:paraId="1EE867E3"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0.971</w:t>
            </w:r>
          </w:p>
        </w:tc>
        <w:tc>
          <w:tcPr>
            <w:tcW w:w="693" w:type="dxa"/>
          </w:tcPr>
          <w:p w14:paraId="1B4D4F6F"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499</w:t>
            </w:r>
          </w:p>
        </w:tc>
      </w:tr>
      <w:tr w:rsidR="003661E0" w:rsidRPr="005871E7" w14:paraId="4EA9B264" w14:textId="77777777" w:rsidTr="003661E0">
        <w:tc>
          <w:tcPr>
            <w:tcW w:w="2360" w:type="dxa"/>
          </w:tcPr>
          <w:p w14:paraId="444C2893"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Bauchi</w:t>
            </w:r>
          </w:p>
        </w:tc>
        <w:tc>
          <w:tcPr>
            <w:tcW w:w="971" w:type="dxa"/>
          </w:tcPr>
          <w:p w14:paraId="38BD6ABE"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0.510</w:t>
            </w:r>
          </w:p>
        </w:tc>
        <w:tc>
          <w:tcPr>
            <w:tcW w:w="1527" w:type="dxa"/>
          </w:tcPr>
          <w:p w14:paraId="55B4BE9C"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0.414</w:t>
            </w:r>
          </w:p>
        </w:tc>
        <w:tc>
          <w:tcPr>
            <w:tcW w:w="1111" w:type="dxa"/>
          </w:tcPr>
          <w:p w14:paraId="12013A5F"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0.416</w:t>
            </w:r>
          </w:p>
        </w:tc>
        <w:tc>
          <w:tcPr>
            <w:tcW w:w="1943" w:type="dxa"/>
          </w:tcPr>
          <w:p w14:paraId="5428FDDE"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0.558</w:t>
            </w:r>
          </w:p>
        </w:tc>
        <w:tc>
          <w:tcPr>
            <w:tcW w:w="693" w:type="dxa"/>
          </w:tcPr>
          <w:p w14:paraId="6C212588"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502</w:t>
            </w:r>
          </w:p>
        </w:tc>
      </w:tr>
      <w:tr w:rsidR="003661E0" w:rsidRPr="005871E7" w14:paraId="326E5FC3" w14:textId="77777777" w:rsidTr="003661E0">
        <w:trPr>
          <w:cnfStyle w:val="000000100000" w:firstRow="0" w:lastRow="0" w:firstColumn="0" w:lastColumn="0" w:oddVBand="0" w:evenVBand="0" w:oddHBand="1" w:evenHBand="0" w:firstRowFirstColumn="0" w:firstRowLastColumn="0" w:lastRowFirstColumn="0" w:lastRowLastColumn="0"/>
        </w:trPr>
        <w:tc>
          <w:tcPr>
            <w:tcW w:w="2360" w:type="dxa"/>
          </w:tcPr>
          <w:p w14:paraId="5F2D7407" w14:textId="77777777" w:rsidR="003661E0" w:rsidRPr="005871E7" w:rsidRDefault="003661E0" w:rsidP="002C3392">
            <w:pPr>
              <w:pStyle w:val="Compact"/>
              <w:spacing w:line="360" w:lineRule="auto"/>
              <w:jc w:val="both"/>
              <w:rPr>
                <w:rFonts w:ascii="Garamond" w:hAnsi="Garamond"/>
              </w:rPr>
            </w:pPr>
            <w:proofErr w:type="spellStart"/>
            <w:r w:rsidRPr="005871E7">
              <w:rPr>
                <w:rFonts w:ascii="Garamond" w:hAnsi="Garamond"/>
              </w:rPr>
              <w:t>Bogoro</w:t>
            </w:r>
            <w:proofErr w:type="spellEnd"/>
          </w:p>
        </w:tc>
        <w:tc>
          <w:tcPr>
            <w:tcW w:w="971" w:type="dxa"/>
          </w:tcPr>
          <w:p w14:paraId="6DC9183E"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0.452</w:t>
            </w:r>
          </w:p>
        </w:tc>
        <w:tc>
          <w:tcPr>
            <w:tcW w:w="1527" w:type="dxa"/>
          </w:tcPr>
          <w:p w14:paraId="56B3EB59"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0.418</w:t>
            </w:r>
          </w:p>
        </w:tc>
        <w:tc>
          <w:tcPr>
            <w:tcW w:w="1111" w:type="dxa"/>
          </w:tcPr>
          <w:p w14:paraId="4F5893AB"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0.222</w:t>
            </w:r>
          </w:p>
        </w:tc>
        <w:tc>
          <w:tcPr>
            <w:tcW w:w="1943" w:type="dxa"/>
          </w:tcPr>
          <w:p w14:paraId="1425D4E6"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0.753</w:t>
            </w:r>
          </w:p>
        </w:tc>
        <w:tc>
          <w:tcPr>
            <w:tcW w:w="693" w:type="dxa"/>
          </w:tcPr>
          <w:p w14:paraId="69E933A0"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325</w:t>
            </w:r>
          </w:p>
        </w:tc>
      </w:tr>
      <w:tr w:rsidR="003661E0" w:rsidRPr="005871E7" w14:paraId="624AD4D3" w14:textId="77777777" w:rsidTr="003661E0">
        <w:tc>
          <w:tcPr>
            <w:tcW w:w="2360" w:type="dxa"/>
          </w:tcPr>
          <w:p w14:paraId="4F5C7F20"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DAMBAM</w:t>
            </w:r>
          </w:p>
        </w:tc>
        <w:tc>
          <w:tcPr>
            <w:tcW w:w="971" w:type="dxa"/>
          </w:tcPr>
          <w:p w14:paraId="2A85CCD0"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0.374</w:t>
            </w:r>
          </w:p>
        </w:tc>
        <w:tc>
          <w:tcPr>
            <w:tcW w:w="1527" w:type="dxa"/>
          </w:tcPr>
          <w:p w14:paraId="6A0F0766"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0.317</w:t>
            </w:r>
          </w:p>
        </w:tc>
        <w:tc>
          <w:tcPr>
            <w:tcW w:w="1111" w:type="dxa"/>
          </w:tcPr>
          <w:p w14:paraId="5D9BCAF7"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0.221</w:t>
            </w:r>
          </w:p>
        </w:tc>
        <w:tc>
          <w:tcPr>
            <w:tcW w:w="1943" w:type="dxa"/>
          </w:tcPr>
          <w:p w14:paraId="3CC649AF"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0.917</w:t>
            </w:r>
          </w:p>
        </w:tc>
        <w:tc>
          <w:tcPr>
            <w:tcW w:w="693" w:type="dxa"/>
          </w:tcPr>
          <w:p w14:paraId="597B17BF"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398</w:t>
            </w:r>
          </w:p>
        </w:tc>
      </w:tr>
      <w:tr w:rsidR="003661E0" w:rsidRPr="005871E7" w14:paraId="3BA85DEF" w14:textId="77777777" w:rsidTr="003661E0">
        <w:trPr>
          <w:cnfStyle w:val="000000100000" w:firstRow="0" w:lastRow="0" w:firstColumn="0" w:lastColumn="0" w:oddVBand="0" w:evenVBand="0" w:oddHBand="1" w:evenHBand="0" w:firstRowFirstColumn="0" w:firstRowLastColumn="0" w:lastRowFirstColumn="0" w:lastRowLastColumn="0"/>
        </w:trPr>
        <w:tc>
          <w:tcPr>
            <w:tcW w:w="2360" w:type="dxa"/>
          </w:tcPr>
          <w:p w14:paraId="6BD385B5" w14:textId="77777777" w:rsidR="003661E0" w:rsidRPr="005871E7" w:rsidRDefault="003661E0" w:rsidP="002C3392">
            <w:pPr>
              <w:pStyle w:val="Compact"/>
              <w:spacing w:line="360" w:lineRule="auto"/>
              <w:jc w:val="both"/>
              <w:rPr>
                <w:rFonts w:ascii="Garamond" w:hAnsi="Garamond"/>
              </w:rPr>
            </w:pPr>
            <w:proofErr w:type="spellStart"/>
            <w:r w:rsidRPr="005871E7">
              <w:rPr>
                <w:rFonts w:ascii="Garamond" w:hAnsi="Garamond"/>
              </w:rPr>
              <w:t>Darazo</w:t>
            </w:r>
            <w:proofErr w:type="spellEnd"/>
          </w:p>
        </w:tc>
        <w:tc>
          <w:tcPr>
            <w:tcW w:w="971" w:type="dxa"/>
          </w:tcPr>
          <w:p w14:paraId="2CBD4F8A"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0.667</w:t>
            </w:r>
          </w:p>
        </w:tc>
        <w:tc>
          <w:tcPr>
            <w:tcW w:w="1527" w:type="dxa"/>
          </w:tcPr>
          <w:p w14:paraId="75A1326D"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0.569</w:t>
            </w:r>
          </w:p>
        </w:tc>
        <w:tc>
          <w:tcPr>
            <w:tcW w:w="1111" w:type="dxa"/>
          </w:tcPr>
          <w:p w14:paraId="441882DF"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0.514</w:t>
            </w:r>
          </w:p>
        </w:tc>
        <w:tc>
          <w:tcPr>
            <w:tcW w:w="1943" w:type="dxa"/>
          </w:tcPr>
          <w:p w14:paraId="7B6187D7"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0.545</w:t>
            </w:r>
          </w:p>
        </w:tc>
        <w:tc>
          <w:tcPr>
            <w:tcW w:w="693" w:type="dxa"/>
          </w:tcPr>
          <w:p w14:paraId="47AFBB11"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418</w:t>
            </w:r>
          </w:p>
        </w:tc>
      </w:tr>
      <w:tr w:rsidR="003661E0" w:rsidRPr="005871E7" w14:paraId="58366DE1" w14:textId="77777777" w:rsidTr="003661E0">
        <w:tc>
          <w:tcPr>
            <w:tcW w:w="2360" w:type="dxa"/>
          </w:tcPr>
          <w:p w14:paraId="45285CBC"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Dass</w:t>
            </w:r>
          </w:p>
        </w:tc>
        <w:tc>
          <w:tcPr>
            <w:tcW w:w="971" w:type="dxa"/>
          </w:tcPr>
          <w:p w14:paraId="387A7A01"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0.566</w:t>
            </w:r>
          </w:p>
        </w:tc>
        <w:tc>
          <w:tcPr>
            <w:tcW w:w="1527" w:type="dxa"/>
          </w:tcPr>
          <w:p w14:paraId="4DA74CCF"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0.366</w:t>
            </w:r>
          </w:p>
        </w:tc>
        <w:tc>
          <w:tcPr>
            <w:tcW w:w="1111" w:type="dxa"/>
          </w:tcPr>
          <w:p w14:paraId="263A6FE0"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0.277</w:t>
            </w:r>
          </w:p>
        </w:tc>
        <w:tc>
          <w:tcPr>
            <w:tcW w:w="1943" w:type="dxa"/>
          </w:tcPr>
          <w:p w14:paraId="2AE2B393"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0.737</w:t>
            </w:r>
          </w:p>
        </w:tc>
        <w:tc>
          <w:tcPr>
            <w:tcW w:w="693" w:type="dxa"/>
          </w:tcPr>
          <w:p w14:paraId="3B44C495"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325</w:t>
            </w:r>
          </w:p>
        </w:tc>
      </w:tr>
      <w:tr w:rsidR="003661E0" w:rsidRPr="005871E7" w14:paraId="0A70BB79" w14:textId="77777777" w:rsidTr="003661E0">
        <w:trPr>
          <w:cnfStyle w:val="000000100000" w:firstRow="0" w:lastRow="0" w:firstColumn="0" w:lastColumn="0" w:oddVBand="0" w:evenVBand="0" w:oddHBand="1" w:evenHBand="0" w:firstRowFirstColumn="0" w:firstRowLastColumn="0" w:lastRowFirstColumn="0" w:lastRowLastColumn="0"/>
        </w:trPr>
        <w:tc>
          <w:tcPr>
            <w:tcW w:w="2360" w:type="dxa"/>
          </w:tcPr>
          <w:p w14:paraId="3B224434" w14:textId="77777777" w:rsidR="003661E0" w:rsidRPr="005871E7" w:rsidRDefault="003661E0" w:rsidP="002C3392">
            <w:pPr>
              <w:pStyle w:val="Compact"/>
              <w:spacing w:line="360" w:lineRule="auto"/>
              <w:jc w:val="both"/>
              <w:rPr>
                <w:rFonts w:ascii="Garamond" w:hAnsi="Garamond"/>
              </w:rPr>
            </w:pPr>
            <w:proofErr w:type="spellStart"/>
            <w:r w:rsidRPr="005871E7">
              <w:rPr>
                <w:rFonts w:ascii="Garamond" w:hAnsi="Garamond"/>
              </w:rPr>
              <w:t>Gamawa</w:t>
            </w:r>
            <w:proofErr w:type="spellEnd"/>
          </w:p>
        </w:tc>
        <w:tc>
          <w:tcPr>
            <w:tcW w:w="971" w:type="dxa"/>
          </w:tcPr>
          <w:p w14:paraId="2C9F5536"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0.122</w:t>
            </w:r>
          </w:p>
        </w:tc>
        <w:tc>
          <w:tcPr>
            <w:tcW w:w="1527" w:type="dxa"/>
          </w:tcPr>
          <w:p w14:paraId="7794B5AE"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0.236</w:t>
            </w:r>
          </w:p>
        </w:tc>
        <w:tc>
          <w:tcPr>
            <w:tcW w:w="1111" w:type="dxa"/>
          </w:tcPr>
          <w:p w14:paraId="1F0AD5D7"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0.051</w:t>
            </w:r>
          </w:p>
        </w:tc>
        <w:tc>
          <w:tcPr>
            <w:tcW w:w="1943" w:type="dxa"/>
          </w:tcPr>
          <w:p w14:paraId="7DBA55DE"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0.652</w:t>
            </w:r>
          </w:p>
        </w:tc>
        <w:tc>
          <w:tcPr>
            <w:tcW w:w="693" w:type="dxa"/>
          </w:tcPr>
          <w:p w14:paraId="0DEAF975"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449</w:t>
            </w:r>
          </w:p>
        </w:tc>
      </w:tr>
      <w:tr w:rsidR="003661E0" w:rsidRPr="005871E7" w14:paraId="534E85FA" w14:textId="77777777" w:rsidTr="003661E0">
        <w:tc>
          <w:tcPr>
            <w:tcW w:w="2360" w:type="dxa"/>
          </w:tcPr>
          <w:p w14:paraId="21D4CCC1" w14:textId="77777777" w:rsidR="003661E0" w:rsidRPr="005871E7" w:rsidRDefault="003661E0" w:rsidP="002C3392">
            <w:pPr>
              <w:pStyle w:val="Compact"/>
              <w:spacing w:line="360" w:lineRule="auto"/>
              <w:jc w:val="both"/>
              <w:rPr>
                <w:rFonts w:ascii="Garamond" w:hAnsi="Garamond"/>
              </w:rPr>
            </w:pPr>
            <w:proofErr w:type="spellStart"/>
            <w:r w:rsidRPr="005871E7">
              <w:rPr>
                <w:rFonts w:ascii="Garamond" w:hAnsi="Garamond"/>
              </w:rPr>
              <w:t>Ganjuwa</w:t>
            </w:r>
            <w:proofErr w:type="spellEnd"/>
          </w:p>
        </w:tc>
        <w:tc>
          <w:tcPr>
            <w:tcW w:w="971" w:type="dxa"/>
          </w:tcPr>
          <w:p w14:paraId="7BBFB9A3"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0.415</w:t>
            </w:r>
          </w:p>
        </w:tc>
        <w:tc>
          <w:tcPr>
            <w:tcW w:w="1527" w:type="dxa"/>
          </w:tcPr>
          <w:p w14:paraId="0541A4E5"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0.398</w:t>
            </w:r>
          </w:p>
        </w:tc>
        <w:tc>
          <w:tcPr>
            <w:tcW w:w="1111" w:type="dxa"/>
          </w:tcPr>
          <w:p w14:paraId="425F9046"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0.152</w:t>
            </w:r>
          </w:p>
        </w:tc>
        <w:tc>
          <w:tcPr>
            <w:tcW w:w="1943" w:type="dxa"/>
          </w:tcPr>
          <w:p w14:paraId="672EB846"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0.378</w:t>
            </w:r>
          </w:p>
        </w:tc>
        <w:tc>
          <w:tcPr>
            <w:tcW w:w="693" w:type="dxa"/>
          </w:tcPr>
          <w:p w14:paraId="38DEB83B"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400</w:t>
            </w:r>
          </w:p>
        </w:tc>
      </w:tr>
      <w:tr w:rsidR="003661E0" w:rsidRPr="005871E7" w14:paraId="762D7E1F" w14:textId="77777777" w:rsidTr="003661E0">
        <w:trPr>
          <w:cnfStyle w:val="000000100000" w:firstRow="0" w:lastRow="0" w:firstColumn="0" w:lastColumn="0" w:oddVBand="0" w:evenVBand="0" w:oddHBand="1" w:evenHBand="0" w:firstRowFirstColumn="0" w:firstRowLastColumn="0" w:lastRowFirstColumn="0" w:lastRowLastColumn="0"/>
        </w:trPr>
        <w:tc>
          <w:tcPr>
            <w:tcW w:w="2360" w:type="dxa"/>
          </w:tcPr>
          <w:p w14:paraId="067699CC" w14:textId="77777777" w:rsidR="003661E0" w:rsidRPr="005871E7" w:rsidRDefault="003661E0" w:rsidP="002C3392">
            <w:pPr>
              <w:pStyle w:val="Compact"/>
              <w:spacing w:line="360" w:lineRule="auto"/>
              <w:jc w:val="both"/>
              <w:rPr>
                <w:rFonts w:ascii="Garamond" w:hAnsi="Garamond"/>
              </w:rPr>
            </w:pPr>
            <w:proofErr w:type="spellStart"/>
            <w:r w:rsidRPr="005871E7">
              <w:rPr>
                <w:rFonts w:ascii="Garamond" w:hAnsi="Garamond"/>
              </w:rPr>
              <w:t>Giade</w:t>
            </w:r>
            <w:proofErr w:type="spellEnd"/>
          </w:p>
        </w:tc>
        <w:tc>
          <w:tcPr>
            <w:tcW w:w="971" w:type="dxa"/>
          </w:tcPr>
          <w:p w14:paraId="0EF6CFA6"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0.535</w:t>
            </w:r>
          </w:p>
        </w:tc>
        <w:tc>
          <w:tcPr>
            <w:tcW w:w="1527" w:type="dxa"/>
          </w:tcPr>
          <w:p w14:paraId="2D88D10C"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0.357</w:t>
            </w:r>
          </w:p>
        </w:tc>
        <w:tc>
          <w:tcPr>
            <w:tcW w:w="1111" w:type="dxa"/>
          </w:tcPr>
          <w:p w14:paraId="74C8869C"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0.228</w:t>
            </w:r>
          </w:p>
        </w:tc>
        <w:tc>
          <w:tcPr>
            <w:tcW w:w="1943" w:type="dxa"/>
          </w:tcPr>
          <w:p w14:paraId="4BE0F2ED"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0.417</w:t>
            </w:r>
          </w:p>
        </w:tc>
        <w:tc>
          <w:tcPr>
            <w:tcW w:w="693" w:type="dxa"/>
          </w:tcPr>
          <w:p w14:paraId="5E121145"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325</w:t>
            </w:r>
          </w:p>
        </w:tc>
      </w:tr>
      <w:tr w:rsidR="003661E0" w:rsidRPr="005871E7" w14:paraId="1B51F2CA" w14:textId="77777777" w:rsidTr="003661E0">
        <w:tc>
          <w:tcPr>
            <w:tcW w:w="2360" w:type="dxa"/>
          </w:tcPr>
          <w:p w14:paraId="4A4C6758"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Itas/Gadau</w:t>
            </w:r>
          </w:p>
        </w:tc>
        <w:tc>
          <w:tcPr>
            <w:tcW w:w="971" w:type="dxa"/>
          </w:tcPr>
          <w:p w14:paraId="70256D03"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0.462</w:t>
            </w:r>
          </w:p>
        </w:tc>
        <w:tc>
          <w:tcPr>
            <w:tcW w:w="1527" w:type="dxa"/>
          </w:tcPr>
          <w:p w14:paraId="66D40852"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0.372</w:t>
            </w:r>
          </w:p>
        </w:tc>
        <w:tc>
          <w:tcPr>
            <w:tcW w:w="1111" w:type="dxa"/>
          </w:tcPr>
          <w:p w14:paraId="6F5011EB"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0.098</w:t>
            </w:r>
          </w:p>
        </w:tc>
        <w:tc>
          <w:tcPr>
            <w:tcW w:w="1943" w:type="dxa"/>
          </w:tcPr>
          <w:p w14:paraId="6DCC664B"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0.286</w:t>
            </w:r>
          </w:p>
        </w:tc>
        <w:tc>
          <w:tcPr>
            <w:tcW w:w="693" w:type="dxa"/>
          </w:tcPr>
          <w:p w14:paraId="42964E98"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400</w:t>
            </w:r>
          </w:p>
        </w:tc>
      </w:tr>
      <w:tr w:rsidR="003661E0" w:rsidRPr="005871E7" w14:paraId="75ABCB85" w14:textId="77777777" w:rsidTr="003661E0">
        <w:trPr>
          <w:cnfStyle w:val="000000100000" w:firstRow="0" w:lastRow="0" w:firstColumn="0" w:lastColumn="0" w:oddVBand="0" w:evenVBand="0" w:oddHBand="1" w:evenHBand="0" w:firstRowFirstColumn="0" w:firstRowLastColumn="0" w:lastRowFirstColumn="0" w:lastRowLastColumn="0"/>
        </w:trPr>
        <w:tc>
          <w:tcPr>
            <w:tcW w:w="2360" w:type="dxa"/>
          </w:tcPr>
          <w:p w14:paraId="31DBF37E" w14:textId="77777777" w:rsidR="003661E0" w:rsidRPr="005871E7" w:rsidRDefault="003661E0" w:rsidP="002C3392">
            <w:pPr>
              <w:pStyle w:val="Compact"/>
              <w:spacing w:line="360" w:lineRule="auto"/>
              <w:jc w:val="both"/>
              <w:rPr>
                <w:rFonts w:ascii="Garamond" w:hAnsi="Garamond"/>
              </w:rPr>
            </w:pPr>
            <w:proofErr w:type="spellStart"/>
            <w:r w:rsidRPr="005871E7">
              <w:rPr>
                <w:rFonts w:ascii="Garamond" w:hAnsi="Garamond"/>
              </w:rPr>
              <w:t>Jama’are</w:t>
            </w:r>
            <w:proofErr w:type="spellEnd"/>
          </w:p>
        </w:tc>
        <w:tc>
          <w:tcPr>
            <w:tcW w:w="971" w:type="dxa"/>
          </w:tcPr>
          <w:p w14:paraId="5E1906E2"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0.274</w:t>
            </w:r>
          </w:p>
        </w:tc>
        <w:tc>
          <w:tcPr>
            <w:tcW w:w="1527" w:type="dxa"/>
          </w:tcPr>
          <w:p w14:paraId="0129EB57"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0.172</w:t>
            </w:r>
          </w:p>
        </w:tc>
        <w:tc>
          <w:tcPr>
            <w:tcW w:w="1111" w:type="dxa"/>
          </w:tcPr>
          <w:p w14:paraId="403616E9"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0.129</w:t>
            </w:r>
          </w:p>
        </w:tc>
        <w:tc>
          <w:tcPr>
            <w:tcW w:w="1943" w:type="dxa"/>
          </w:tcPr>
          <w:p w14:paraId="7619CC39"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0.091</w:t>
            </w:r>
          </w:p>
        </w:tc>
        <w:tc>
          <w:tcPr>
            <w:tcW w:w="693" w:type="dxa"/>
          </w:tcPr>
          <w:p w14:paraId="1CA15E4F"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325</w:t>
            </w:r>
          </w:p>
        </w:tc>
      </w:tr>
      <w:tr w:rsidR="003661E0" w:rsidRPr="005871E7" w14:paraId="35D7ED17" w14:textId="77777777" w:rsidTr="003661E0">
        <w:tc>
          <w:tcPr>
            <w:tcW w:w="2360" w:type="dxa"/>
          </w:tcPr>
          <w:p w14:paraId="5AABB0D0" w14:textId="77777777" w:rsidR="003661E0" w:rsidRPr="005871E7" w:rsidRDefault="003661E0" w:rsidP="002C3392">
            <w:pPr>
              <w:pStyle w:val="Compact"/>
              <w:spacing w:line="360" w:lineRule="auto"/>
              <w:jc w:val="both"/>
              <w:rPr>
                <w:rFonts w:ascii="Garamond" w:hAnsi="Garamond"/>
              </w:rPr>
            </w:pPr>
            <w:proofErr w:type="spellStart"/>
            <w:r w:rsidRPr="005871E7">
              <w:rPr>
                <w:rFonts w:ascii="Garamond" w:hAnsi="Garamond"/>
              </w:rPr>
              <w:t>Katagum</w:t>
            </w:r>
            <w:proofErr w:type="spellEnd"/>
          </w:p>
        </w:tc>
        <w:tc>
          <w:tcPr>
            <w:tcW w:w="971" w:type="dxa"/>
          </w:tcPr>
          <w:p w14:paraId="07AB1360"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0.184</w:t>
            </w:r>
          </w:p>
        </w:tc>
        <w:tc>
          <w:tcPr>
            <w:tcW w:w="1527" w:type="dxa"/>
          </w:tcPr>
          <w:p w14:paraId="49130E5C"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0.114</w:t>
            </w:r>
          </w:p>
        </w:tc>
        <w:tc>
          <w:tcPr>
            <w:tcW w:w="1111" w:type="dxa"/>
          </w:tcPr>
          <w:p w14:paraId="7B1ABA02"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0.070</w:t>
            </w:r>
          </w:p>
        </w:tc>
        <w:tc>
          <w:tcPr>
            <w:tcW w:w="1943" w:type="dxa"/>
          </w:tcPr>
          <w:p w14:paraId="4B5ECFB8"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1.000</w:t>
            </w:r>
          </w:p>
        </w:tc>
        <w:tc>
          <w:tcPr>
            <w:tcW w:w="693" w:type="dxa"/>
          </w:tcPr>
          <w:p w14:paraId="15A353F0"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501</w:t>
            </w:r>
          </w:p>
        </w:tc>
      </w:tr>
      <w:tr w:rsidR="003661E0" w:rsidRPr="005871E7" w14:paraId="35E3EA8C" w14:textId="77777777" w:rsidTr="003661E0">
        <w:trPr>
          <w:cnfStyle w:val="000000100000" w:firstRow="0" w:lastRow="0" w:firstColumn="0" w:lastColumn="0" w:oddVBand="0" w:evenVBand="0" w:oddHBand="1" w:evenHBand="0" w:firstRowFirstColumn="0" w:firstRowLastColumn="0" w:lastRowFirstColumn="0" w:lastRowLastColumn="0"/>
        </w:trPr>
        <w:tc>
          <w:tcPr>
            <w:tcW w:w="2360" w:type="dxa"/>
          </w:tcPr>
          <w:p w14:paraId="37AF4919" w14:textId="77777777" w:rsidR="003661E0" w:rsidRPr="005871E7" w:rsidRDefault="003661E0" w:rsidP="002C3392">
            <w:pPr>
              <w:pStyle w:val="Compact"/>
              <w:spacing w:line="360" w:lineRule="auto"/>
              <w:jc w:val="both"/>
              <w:rPr>
                <w:rFonts w:ascii="Garamond" w:hAnsi="Garamond"/>
              </w:rPr>
            </w:pPr>
            <w:proofErr w:type="spellStart"/>
            <w:r w:rsidRPr="005871E7">
              <w:rPr>
                <w:rFonts w:ascii="Garamond" w:hAnsi="Garamond"/>
              </w:rPr>
              <w:t>Kirfi</w:t>
            </w:r>
            <w:proofErr w:type="spellEnd"/>
          </w:p>
        </w:tc>
        <w:tc>
          <w:tcPr>
            <w:tcW w:w="971" w:type="dxa"/>
          </w:tcPr>
          <w:p w14:paraId="5A941155"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0.297</w:t>
            </w:r>
          </w:p>
        </w:tc>
        <w:tc>
          <w:tcPr>
            <w:tcW w:w="1527" w:type="dxa"/>
          </w:tcPr>
          <w:p w14:paraId="7D69CE21"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0.393</w:t>
            </w:r>
          </w:p>
        </w:tc>
        <w:tc>
          <w:tcPr>
            <w:tcW w:w="1111" w:type="dxa"/>
          </w:tcPr>
          <w:p w14:paraId="5F15C98A"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0.307</w:t>
            </w:r>
          </w:p>
        </w:tc>
        <w:tc>
          <w:tcPr>
            <w:tcW w:w="1943" w:type="dxa"/>
          </w:tcPr>
          <w:p w14:paraId="61E18F38"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0.800</w:t>
            </w:r>
          </w:p>
        </w:tc>
        <w:tc>
          <w:tcPr>
            <w:tcW w:w="693" w:type="dxa"/>
          </w:tcPr>
          <w:p w14:paraId="2C077A19"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323</w:t>
            </w:r>
          </w:p>
        </w:tc>
      </w:tr>
      <w:tr w:rsidR="003661E0" w:rsidRPr="005871E7" w14:paraId="66D425DB" w14:textId="77777777" w:rsidTr="003661E0">
        <w:tc>
          <w:tcPr>
            <w:tcW w:w="2360" w:type="dxa"/>
          </w:tcPr>
          <w:p w14:paraId="03A9D20F" w14:textId="77777777" w:rsidR="003661E0" w:rsidRPr="005871E7" w:rsidRDefault="003661E0" w:rsidP="002C3392">
            <w:pPr>
              <w:pStyle w:val="Compact"/>
              <w:spacing w:line="360" w:lineRule="auto"/>
              <w:jc w:val="both"/>
              <w:rPr>
                <w:rFonts w:ascii="Garamond" w:hAnsi="Garamond"/>
              </w:rPr>
            </w:pPr>
            <w:proofErr w:type="spellStart"/>
            <w:r w:rsidRPr="005871E7">
              <w:rPr>
                <w:rFonts w:ascii="Garamond" w:hAnsi="Garamond"/>
              </w:rPr>
              <w:t>Misau</w:t>
            </w:r>
            <w:proofErr w:type="spellEnd"/>
          </w:p>
        </w:tc>
        <w:tc>
          <w:tcPr>
            <w:tcW w:w="971" w:type="dxa"/>
          </w:tcPr>
          <w:p w14:paraId="24EC2AB8"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0.472</w:t>
            </w:r>
          </w:p>
        </w:tc>
        <w:tc>
          <w:tcPr>
            <w:tcW w:w="1527" w:type="dxa"/>
          </w:tcPr>
          <w:p w14:paraId="132FA133"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0.412</w:t>
            </w:r>
          </w:p>
        </w:tc>
        <w:tc>
          <w:tcPr>
            <w:tcW w:w="1111" w:type="dxa"/>
          </w:tcPr>
          <w:p w14:paraId="2547D887"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0.308</w:t>
            </w:r>
          </w:p>
        </w:tc>
        <w:tc>
          <w:tcPr>
            <w:tcW w:w="1943" w:type="dxa"/>
          </w:tcPr>
          <w:p w14:paraId="504A72F5"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0.846</w:t>
            </w:r>
          </w:p>
        </w:tc>
        <w:tc>
          <w:tcPr>
            <w:tcW w:w="693" w:type="dxa"/>
          </w:tcPr>
          <w:p w14:paraId="65D2E626"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400</w:t>
            </w:r>
          </w:p>
        </w:tc>
      </w:tr>
      <w:tr w:rsidR="003661E0" w:rsidRPr="005871E7" w14:paraId="77956E3D" w14:textId="77777777" w:rsidTr="003661E0">
        <w:trPr>
          <w:cnfStyle w:val="000000100000" w:firstRow="0" w:lastRow="0" w:firstColumn="0" w:lastColumn="0" w:oddVBand="0" w:evenVBand="0" w:oddHBand="1" w:evenHBand="0" w:firstRowFirstColumn="0" w:firstRowLastColumn="0" w:lastRowFirstColumn="0" w:lastRowLastColumn="0"/>
        </w:trPr>
        <w:tc>
          <w:tcPr>
            <w:tcW w:w="2360" w:type="dxa"/>
          </w:tcPr>
          <w:p w14:paraId="73BD2B88" w14:textId="77777777" w:rsidR="003661E0" w:rsidRPr="005871E7" w:rsidRDefault="003661E0" w:rsidP="002C3392">
            <w:pPr>
              <w:pStyle w:val="Compact"/>
              <w:spacing w:line="360" w:lineRule="auto"/>
              <w:jc w:val="both"/>
              <w:rPr>
                <w:rFonts w:ascii="Garamond" w:hAnsi="Garamond"/>
              </w:rPr>
            </w:pPr>
            <w:proofErr w:type="spellStart"/>
            <w:r w:rsidRPr="005871E7">
              <w:rPr>
                <w:rFonts w:ascii="Garamond" w:hAnsi="Garamond"/>
              </w:rPr>
              <w:t>Ningi</w:t>
            </w:r>
            <w:proofErr w:type="spellEnd"/>
          </w:p>
        </w:tc>
        <w:tc>
          <w:tcPr>
            <w:tcW w:w="971" w:type="dxa"/>
          </w:tcPr>
          <w:p w14:paraId="3B3BEC9A"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0.370</w:t>
            </w:r>
          </w:p>
        </w:tc>
        <w:tc>
          <w:tcPr>
            <w:tcW w:w="1527" w:type="dxa"/>
          </w:tcPr>
          <w:p w14:paraId="04F0B4E1"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0.268</w:t>
            </w:r>
          </w:p>
        </w:tc>
        <w:tc>
          <w:tcPr>
            <w:tcW w:w="1111" w:type="dxa"/>
          </w:tcPr>
          <w:p w14:paraId="2157C28E"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0.140</w:t>
            </w:r>
          </w:p>
        </w:tc>
        <w:tc>
          <w:tcPr>
            <w:tcW w:w="1943" w:type="dxa"/>
          </w:tcPr>
          <w:p w14:paraId="3ECF7882"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0.914</w:t>
            </w:r>
          </w:p>
        </w:tc>
        <w:tc>
          <w:tcPr>
            <w:tcW w:w="693" w:type="dxa"/>
          </w:tcPr>
          <w:p w14:paraId="47BB4D68"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400</w:t>
            </w:r>
          </w:p>
        </w:tc>
      </w:tr>
      <w:tr w:rsidR="003661E0" w:rsidRPr="005871E7" w14:paraId="2C213258" w14:textId="77777777" w:rsidTr="003661E0">
        <w:tc>
          <w:tcPr>
            <w:tcW w:w="2360" w:type="dxa"/>
          </w:tcPr>
          <w:p w14:paraId="3AB303BC"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Shira</w:t>
            </w:r>
          </w:p>
        </w:tc>
        <w:tc>
          <w:tcPr>
            <w:tcW w:w="971" w:type="dxa"/>
          </w:tcPr>
          <w:p w14:paraId="00A31A98"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0.228</w:t>
            </w:r>
          </w:p>
        </w:tc>
        <w:tc>
          <w:tcPr>
            <w:tcW w:w="1527" w:type="dxa"/>
          </w:tcPr>
          <w:p w14:paraId="0C3FDDCA"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0.213</w:t>
            </w:r>
          </w:p>
        </w:tc>
        <w:tc>
          <w:tcPr>
            <w:tcW w:w="1111" w:type="dxa"/>
          </w:tcPr>
          <w:p w14:paraId="092C3414"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0.148</w:t>
            </w:r>
          </w:p>
        </w:tc>
        <w:tc>
          <w:tcPr>
            <w:tcW w:w="1943" w:type="dxa"/>
          </w:tcPr>
          <w:p w14:paraId="7FD689E3"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0.821</w:t>
            </w:r>
          </w:p>
        </w:tc>
        <w:tc>
          <w:tcPr>
            <w:tcW w:w="693" w:type="dxa"/>
          </w:tcPr>
          <w:p w14:paraId="70313DEA"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474</w:t>
            </w:r>
          </w:p>
        </w:tc>
      </w:tr>
      <w:tr w:rsidR="003661E0" w:rsidRPr="005871E7" w14:paraId="16D90976" w14:textId="77777777" w:rsidTr="003661E0">
        <w:trPr>
          <w:cnfStyle w:val="000000100000" w:firstRow="0" w:lastRow="0" w:firstColumn="0" w:lastColumn="0" w:oddVBand="0" w:evenVBand="0" w:oddHBand="1" w:evenHBand="0" w:firstRowFirstColumn="0" w:firstRowLastColumn="0" w:lastRowFirstColumn="0" w:lastRowLastColumn="0"/>
        </w:trPr>
        <w:tc>
          <w:tcPr>
            <w:tcW w:w="2360" w:type="dxa"/>
          </w:tcPr>
          <w:p w14:paraId="10952905"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Tafawa-Balewa</w:t>
            </w:r>
          </w:p>
        </w:tc>
        <w:tc>
          <w:tcPr>
            <w:tcW w:w="971" w:type="dxa"/>
          </w:tcPr>
          <w:p w14:paraId="4553707E"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0.392</w:t>
            </w:r>
          </w:p>
        </w:tc>
        <w:tc>
          <w:tcPr>
            <w:tcW w:w="1527" w:type="dxa"/>
          </w:tcPr>
          <w:p w14:paraId="2D0F7D26"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0.315</w:t>
            </w:r>
          </w:p>
        </w:tc>
        <w:tc>
          <w:tcPr>
            <w:tcW w:w="1111" w:type="dxa"/>
          </w:tcPr>
          <w:p w14:paraId="4640D972"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0.252</w:t>
            </w:r>
          </w:p>
        </w:tc>
        <w:tc>
          <w:tcPr>
            <w:tcW w:w="1943" w:type="dxa"/>
          </w:tcPr>
          <w:p w14:paraId="40E2BE8F"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0.818</w:t>
            </w:r>
          </w:p>
        </w:tc>
        <w:tc>
          <w:tcPr>
            <w:tcW w:w="693" w:type="dxa"/>
          </w:tcPr>
          <w:p w14:paraId="275C3138"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400</w:t>
            </w:r>
          </w:p>
        </w:tc>
      </w:tr>
      <w:tr w:rsidR="003661E0" w:rsidRPr="005871E7" w14:paraId="51FE8F73" w14:textId="77777777" w:rsidTr="003661E0">
        <w:tc>
          <w:tcPr>
            <w:tcW w:w="2360" w:type="dxa"/>
          </w:tcPr>
          <w:p w14:paraId="1F4CBEB9"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Toro</w:t>
            </w:r>
          </w:p>
        </w:tc>
        <w:tc>
          <w:tcPr>
            <w:tcW w:w="971" w:type="dxa"/>
          </w:tcPr>
          <w:p w14:paraId="5E3D844A"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0.536</w:t>
            </w:r>
          </w:p>
        </w:tc>
        <w:tc>
          <w:tcPr>
            <w:tcW w:w="1527" w:type="dxa"/>
          </w:tcPr>
          <w:p w14:paraId="7908F6DA"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0.381</w:t>
            </w:r>
          </w:p>
        </w:tc>
        <w:tc>
          <w:tcPr>
            <w:tcW w:w="1111" w:type="dxa"/>
          </w:tcPr>
          <w:p w14:paraId="67F2FF94"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0.334</w:t>
            </w:r>
          </w:p>
        </w:tc>
        <w:tc>
          <w:tcPr>
            <w:tcW w:w="1943" w:type="dxa"/>
          </w:tcPr>
          <w:p w14:paraId="7043D0AA"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0.444</w:t>
            </w:r>
          </w:p>
        </w:tc>
        <w:tc>
          <w:tcPr>
            <w:tcW w:w="693" w:type="dxa"/>
          </w:tcPr>
          <w:p w14:paraId="1449102F"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425</w:t>
            </w:r>
          </w:p>
        </w:tc>
      </w:tr>
      <w:tr w:rsidR="003661E0" w:rsidRPr="005871E7" w14:paraId="0DC928AD" w14:textId="77777777" w:rsidTr="003661E0">
        <w:trPr>
          <w:cnfStyle w:val="000000100000" w:firstRow="0" w:lastRow="0" w:firstColumn="0" w:lastColumn="0" w:oddVBand="0" w:evenVBand="0" w:oddHBand="1" w:evenHBand="0" w:firstRowFirstColumn="0" w:firstRowLastColumn="0" w:lastRowFirstColumn="0" w:lastRowLastColumn="0"/>
        </w:trPr>
        <w:tc>
          <w:tcPr>
            <w:tcW w:w="2360" w:type="dxa"/>
          </w:tcPr>
          <w:p w14:paraId="2DD20758" w14:textId="77777777" w:rsidR="003661E0" w:rsidRPr="005871E7" w:rsidRDefault="003661E0" w:rsidP="002C3392">
            <w:pPr>
              <w:pStyle w:val="Compact"/>
              <w:spacing w:line="360" w:lineRule="auto"/>
              <w:jc w:val="both"/>
              <w:rPr>
                <w:rFonts w:ascii="Garamond" w:hAnsi="Garamond"/>
              </w:rPr>
            </w:pPr>
            <w:proofErr w:type="spellStart"/>
            <w:r w:rsidRPr="005871E7">
              <w:rPr>
                <w:rFonts w:ascii="Garamond" w:hAnsi="Garamond"/>
              </w:rPr>
              <w:t>Warji</w:t>
            </w:r>
            <w:proofErr w:type="spellEnd"/>
          </w:p>
        </w:tc>
        <w:tc>
          <w:tcPr>
            <w:tcW w:w="971" w:type="dxa"/>
          </w:tcPr>
          <w:p w14:paraId="6D708944"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0.360</w:t>
            </w:r>
          </w:p>
        </w:tc>
        <w:tc>
          <w:tcPr>
            <w:tcW w:w="1527" w:type="dxa"/>
          </w:tcPr>
          <w:p w14:paraId="114EEECA"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0.317</w:t>
            </w:r>
          </w:p>
        </w:tc>
        <w:tc>
          <w:tcPr>
            <w:tcW w:w="1111" w:type="dxa"/>
          </w:tcPr>
          <w:p w14:paraId="1C2B833E"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0.249</w:t>
            </w:r>
          </w:p>
        </w:tc>
        <w:tc>
          <w:tcPr>
            <w:tcW w:w="1943" w:type="dxa"/>
          </w:tcPr>
          <w:p w14:paraId="4C569C6B"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0.889</w:t>
            </w:r>
          </w:p>
        </w:tc>
        <w:tc>
          <w:tcPr>
            <w:tcW w:w="693" w:type="dxa"/>
          </w:tcPr>
          <w:p w14:paraId="020B7D0E"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325</w:t>
            </w:r>
          </w:p>
        </w:tc>
      </w:tr>
      <w:tr w:rsidR="003661E0" w:rsidRPr="005871E7" w14:paraId="2FE79E96" w14:textId="77777777" w:rsidTr="003661E0">
        <w:tc>
          <w:tcPr>
            <w:tcW w:w="2360" w:type="dxa"/>
          </w:tcPr>
          <w:p w14:paraId="792A3D3A"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Zaki</w:t>
            </w:r>
          </w:p>
        </w:tc>
        <w:tc>
          <w:tcPr>
            <w:tcW w:w="971" w:type="dxa"/>
          </w:tcPr>
          <w:p w14:paraId="647BDCBE"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0.291</w:t>
            </w:r>
          </w:p>
        </w:tc>
        <w:tc>
          <w:tcPr>
            <w:tcW w:w="1527" w:type="dxa"/>
          </w:tcPr>
          <w:p w14:paraId="7ED05CD5"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0.213</w:t>
            </w:r>
          </w:p>
        </w:tc>
        <w:tc>
          <w:tcPr>
            <w:tcW w:w="1111" w:type="dxa"/>
          </w:tcPr>
          <w:p w14:paraId="1A86423B"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0.173</w:t>
            </w:r>
          </w:p>
        </w:tc>
        <w:tc>
          <w:tcPr>
            <w:tcW w:w="1943" w:type="dxa"/>
          </w:tcPr>
          <w:p w14:paraId="2BA785CF"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0.448</w:t>
            </w:r>
          </w:p>
        </w:tc>
        <w:tc>
          <w:tcPr>
            <w:tcW w:w="693" w:type="dxa"/>
          </w:tcPr>
          <w:p w14:paraId="2B9FE381" w14:textId="77777777" w:rsidR="003661E0" w:rsidRPr="005871E7" w:rsidRDefault="003661E0" w:rsidP="002C3392">
            <w:pPr>
              <w:pStyle w:val="Compact"/>
              <w:spacing w:line="360" w:lineRule="auto"/>
              <w:jc w:val="both"/>
              <w:rPr>
                <w:rFonts w:ascii="Garamond" w:hAnsi="Garamond"/>
              </w:rPr>
            </w:pPr>
            <w:r w:rsidRPr="005871E7">
              <w:rPr>
                <w:rFonts w:ascii="Garamond" w:hAnsi="Garamond"/>
              </w:rPr>
              <w:t>450</w:t>
            </w:r>
          </w:p>
        </w:tc>
      </w:tr>
    </w:tbl>
    <w:p w14:paraId="63BBA859" w14:textId="60969E6D" w:rsidR="003661E0" w:rsidRPr="005871E7" w:rsidRDefault="003661E0" w:rsidP="003661E0">
      <w:pPr>
        <w:pStyle w:val="BodyText"/>
        <w:spacing w:line="360" w:lineRule="auto"/>
        <w:jc w:val="both"/>
        <w:rPr>
          <w:rFonts w:ascii="Garamond" w:hAnsi="Garamond"/>
        </w:rPr>
      </w:pPr>
      <w:r w:rsidRPr="003661E0">
        <w:rPr>
          <w:rFonts w:ascii="Garamond" w:hAnsi="Garamond"/>
        </w:rPr>
        <w:lastRenderedPageBreak/>
        <w:drawing>
          <wp:anchor distT="0" distB="0" distL="114300" distR="114300" simplePos="0" relativeHeight="251658240" behindDoc="0" locked="0" layoutInCell="1" allowOverlap="1" wp14:anchorId="0D4897C3" wp14:editId="10DC4E85">
            <wp:simplePos x="0" y="0"/>
            <wp:positionH relativeFrom="column">
              <wp:posOffset>-486410</wp:posOffset>
            </wp:positionH>
            <wp:positionV relativeFrom="paragraph">
              <wp:posOffset>0</wp:posOffset>
            </wp:positionV>
            <wp:extent cx="7014210" cy="3465195"/>
            <wp:effectExtent l="0" t="0" r="0" b="0"/>
            <wp:wrapSquare wrapText="bothSides"/>
            <wp:docPr id="6741023"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023" name="Picture 1" descr="A graph of different colored lin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14210" cy="3465195"/>
                    </a:xfrm>
                    <a:prstGeom prst="rect">
                      <a:avLst/>
                    </a:prstGeom>
                  </pic:spPr>
                </pic:pic>
              </a:graphicData>
            </a:graphic>
            <wp14:sizeRelH relativeFrom="margin">
              <wp14:pctWidth>0</wp14:pctWidth>
            </wp14:sizeRelH>
            <wp14:sizeRelV relativeFrom="margin">
              <wp14:pctHeight>0</wp14:pctHeight>
            </wp14:sizeRelV>
          </wp:anchor>
        </w:drawing>
      </w:r>
    </w:p>
    <w:p w14:paraId="31363F97" w14:textId="77777777" w:rsidR="003661E0" w:rsidRPr="005871E7" w:rsidRDefault="003661E0" w:rsidP="003661E0">
      <w:pPr>
        <w:pStyle w:val="Heading2"/>
        <w:spacing w:line="360" w:lineRule="auto"/>
        <w:jc w:val="both"/>
        <w:rPr>
          <w:rFonts w:ascii="Garamond" w:hAnsi="Garamond"/>
        </w:rPr>
      </w:pPr>
      <w:r w:rsidRPr="005871E7">
        <w:rPr>
          <w:rFonts w:ascii="Garamond" w:hAnsi="Garamond"/>
        </w:rPr>
        <w:t>Statistical Test for Difference in Coverage Across LGAs</w:t>
      </w:r>
    </w:p>
    <w:p w14:paraId="093254DB" w14:textId="77777777" w:rsidR="003661E0" w:rsidRPr="005871E7" w:rsidRDefault="003661E0" w:rsidP="003661E0">
      <w:pPr>
        <w:pStyle w:val="FirstParagraph"/>
        <w:spacing w:line="360" w:lineRule="auto"/>
        <w:jc w:val="both"/>
        <w:rPr>
          <w:rFonts w:ascii="Garamond" w:hAnsi="Garamond"/>
        </w:rPr>
      </w:pPr>
      <w:r w:rsidRPr="005871E7">
        <w:rPr>
          <w:rFonts w:ascii="Garamond" w:hAnsi="Garamond"/>
        </w:rPr>
        <w:t>Pearson’s chi-squared tests were conducted to assess whether coverage rates for Vitamin A Supplementation (VAS), Deworming, MUAC screening, and Immunization differed significantly across Local Government Areas (LGAs) in Bauchi State.</w:t>
      </w:r>
    </w:p>
    <w:p w14:paraId="6AEE1698" w14:textId="77777777" w:rsidR="003661E0" w:rsidRPr="005871E7" w:rsidRDefault="003661E0" w:rsidP="003661E0">
      <w:pPr>
        <w:pStyle w:val="BodyText"/>
        <w:spacing w:line="360" w:lineRule="auto"/>
        <w:jc w:val="both"/>
        <w:rPr>
          <w:rFonts w:ascii="Garamond" w:hAnsi="Garamond"/>
        </w:rPr>
      </w:pPr>
      <w:r w:rsidRPr="005871E7">
        <w:rPr>
          <w:rFonts w:ascii="Garamond" w:hAnsi="Garamond"/>
        </w:rPr>
        <w:t>For all four interventions, the chi-squared statistics were notably large, with values of 630.91 for VAS (</w:t>
      </w:r>
      <w:proofErr w:type="spellStart"/>
      <w:r w:rsidRPr="005871E7">
        <w:rPr>
          <w:rFonts w:ascii="Garamond" w:hAnsi="Garamond"/>
        </w:rPr>
        <w:t>df</w:t>
      </w:r>
      <w:proofErr w:type="spellEnd"/>
      <w:r w:rsidRPr="005871E7">
        <w:rPr>
          <w:rFonts w:ascii="Garamond" w:hAnsi="Garamond"/>
        </w:rPr>
        <w:t xml:space="preserve"> = 19), 402.38 for Deworming (</w:t>
      </w:r>
      <w:proofErr w:type="spellStart"/>
      <w:r w:rsidRPr="005871E7">
        <w:rPr>
          <w:rFonts w:ascii="Garamond" w:hAnsi="Garamond"/>
        </w:rPr>
        <w:t>df</w:t>
      </w:r>
      <w:proofErr w:type="spellEnd"/>
      <w:r w:rsidRPr="005871E7">
        <w:rPr>
          <w:rFonts w:ascii="Garamond" w:hAnsi="Garamond"/>
        </w:rPr>
        <w:t xml:space="preserve"> = 19), 624.52 for MUAC screening (</w:t>
      </w:r>
      <w:proofErr w:type="spellStart"/>
      <w:r w:rsidRPr="005871E7">
        <w:rPr>
          <w:rFonts w:ascii="Garamond" w:hAnsi="Garamond"/>
        </w:rPr>
        <w:t>df</w:t>
      </w:r>
      <w:proofErr w:type="spellEnd"/>
      <w:r w:rsidRPr="005871E7">
        <w:rPr>
          <w:rFonts w:ascii="Garamond" w:hAnsi="Garamond"/>
        </w:rPr>
        <w:t xml:space="preserve"> = 19), and 138.08 for Immunization (</w:t>
      </w:r>
      <w:proofErr w:type="spellStart"/>
      <w:r w:rsidRPr="005871E7">
        <w:rPr>
          <w:rFonts w:ascii="Garamond" w:hAnsi="Garamond"/>
        </w:rPr>
        <w:t>df</w:t>
      </w:r>
      <w:proofErr w:type="spellEnd"/>
      <w:r w:rsidRPr="005871E7">
        <w:rPr>
          <w:rFonts w:ascii="Garamond" w:hAnsi="Garamond"/>
        </w:rPr>
        <w:t xml:space="preserve"> = 19). In each case, the associated p-value was less than 2.2e-16.</w:t>
      </w:r>
    </w:p>
    <w:p w14:paraId="4AE5B888" w14:textId="77777777" w:rsidR="003661E0" w:rsidRPr="005871E7" w:rsidRDefault="003661E0" w:rsidP="003661E0">
      <w:pPr>
        <w:pStyle w:val="BodyText"/>
        <w:spacing w:line="360" w:lineRule="auto"/>
        <w:jc w:val="both"/>
        <w:rPr>
          <w:rFonts w:ascii="Garamond" w:hAnsi="Garamond"/>
        </w:rPr>
      </w:pPr>
      <w:r w:rsidRPr="005871E7">
        <w:rPr>
          <w:rFonts w:ascii="Garamond" w:hAnsi="Garamond"/>
        </w:rPr>
        <w:t>The results indicate that, for each intervention examined, there is a statistically significant difference in coverage rates across the LGAs. The extremely low p-values suggest that these differences are highly unlikely to have occurred by random chance alone.</w:t>
      </w:r>
    </w:p>
    <w:p w14:paraId="69E52839" w14:textId="77777777" w:rsidR="003661E0" w:rsidRPr="005871E7" w:rsidRDefault="003661E0" w:rsidP="003661E0">
      <w:pPr>
        <w:pStyle w:val="BodyText"/>
        <w:spacing w:line="360" w:lineRule="auto"/>
        <w:jc w:val="both"/>
        <w:rPr>
          <w:rFonts w:ascii="Garamond" w:hAnsi="Garamond"/>
        </w:rPr>
      </w:pPr>
      <w:r w:rsidRPr="005871E7">
        <w:rPr>
          <w:rFonts w:ascii="Garamond" w:hAnsi="Garamond"/>
        </w:rPr>
        <w:t xml:space="preserve">It is also noted that for the MUAC screening variable, a warning was issued regarding the accuracy of the chi-squared approximation. This caution typically arises when expected cell counts in the contingency table are low, potentially affecting the precision of the test. Nonetheless, the overall </w:t>
      </w:r>
      <w:r w:rsidRPr="005871E7">
        <w:rPr>
          <w:rFonts w:ascii="Garamond" w:hAnsi="Garamond"/>
        </w:rPr>
        <w:lastRenderedPageBreak/>
        <w:t>findings point to substantial heterogeneity in the distribution of health intervention coverage at the LGA level in Bauchi State.</w:t>
      </w:r>
    </w:p>
    <w:p w14:paraId="2639C313" w14:textId="77777777" w:rsidR="00AD7D88" w:rsidRPr="005871E7" w:rsidRDefault="00AD7D88" w:rsidP="00AD7D88">
      <w:pPr>
        <w:pStyle w:val="Heading2"/>
        <w:spacing w:line="360" w:lineRule="auto"/>
        <w:jc w:val="both"/>
        <w:rPr>
          <w:rFonts w:ascii="Garamond" w:hAnsi="Garamond"/>
        </w:rPr>
      </w:pPr>
      <w:r w:rsidRPr="005871E7">
        <w:rPr>
          <w:rFonts w:ascii="Garamond" w:hAnsi="Garamond"/>
        </w:rPr>
        <w:t>Women of Childbearing Age (15–49 years) Indicator analysis</w:t>
      </w:r>
    </w:p>
    <w:p w14:paraId="10FD7BA8" w14:textId="77777777" w:rsidR="00AD7D88" w:rsidRPr="005871E7" w:rsidRDefault="00AD7D88" w:rsidP="00AD7D88">
      <w:pPr>
        <w:pStyle w:val="Heading3"/>
        <w:spacing w:line="360" w:lineRule="auto"/>
        <w:jc w:val="both"/>
        <w:rPr>
          <w:rFonts w:ascii="Garamond" w:hAnsi="Garamond"/>
        </w:rPr>
      </w:pPr>
      <w:r w:rsidRPr="005871E7">
        <w:rPr>
          <w:rFonts w:ascii="Garamond" w:hAnsi="Garamond"/>
        </w:rPr>
        <w:t>Coverage of Key Maternal Health Interventions Among Women of Childbearing Age (15–49 years)</w:t>
      </w:r>
    </w:p>
    <w:p w14:paraId="677DA802" w14:textId="77777777" w:rsidR="00AD7D88" w:rsidRPr="005871E7" w:rsidRDefault="00AD7D88" w:rsidP="00AD7D88">
      <w:pPr>
        <w:pStyle w:val="Heading4"/>
        <w:spacing w:line="360" w:lineRule="auto"/>
        <w:jc w:val="both"/>
        <w:rPr>
          <w:rFonts w:ascii="Garamond" w:hAnsi="Garamond"/>
        </w:rPr>
      </w:pPr>
      <w:r w:rsidRPr="005871E7">
        <w:rPr>
          <w:rFonts w:ascii="Garamond" w:hAnsi="Garamond"/>
        </w:rPr>
        <w:t>Iron and Folic Acid Supplementation (IFAS)</w:t>
      </w:r>
    </w:p>
    <w:p w14:paraId="5AA3359C"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Among women of childbearing age, only 7.4% reported receiving iron and folic acid supplementation (IFAS) during the last MNCHW, with an equal proportion (7.4%) reporting that they did not receive IFAS. However, a large proportion of respondents (85.2%) had missing or unreported data for this question. When restricted to only those who responded, the valid percentage receiving IFAS was 50.1%.</w:t>
      </w:r>
    </w:p>
    <w:tbl>
      <w:tblPr>
        <w:tblStyle w:val="Table"/>
        <w:tblW w:w="0" w:type="auto"/>
        <w:tblLook w:val="0020" w:firstRow="1" w:lastRow="0" w:firstColumn="0" w:lastColumn="0" w:noHBand="0" w:noVBand="0"/>
      </w:tblPr>
      <w:tblGrid>
        <w:gridCol w:w="3284"/>
        <w:gridCol w:w="666"/>
        <w:gridCol w:w="1321"/>
        <w:gridCol w:w="1871"/>
      </w:tblGrid>
      <w:tr w:rsidR="00AD7D88" w:rsidRPr="005871E7" w14:paraId="29BB1E86"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0" w:type="auto"/>
          </w:tcPr>
          <w:p w14:paraId="424C763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IFAS Received at Last MNCHW</w:t>
            </w:r>
          </w:p>
        </w:tc>
        <w:tc>
          <w:tcPr>
            <w:tcW w:w="0" w:type="auto"/>
          </w:tcPr>
          <w:p w14:paraId="0A5F0B73"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w:t>
            </w:r>
          </w:p>
        </w:tc>
        <w:tc>
          <w:tcPr>
            <w:tcW w:w="0" w:type="auto"/>
          </w:tcPr>
          <w:p w14:paraId="7B46DF7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Percent (%)</w:t>
            </w:r>
          </w:p>
        </w:tc>
        <w:tc>
          <w:tcPr>
            <w:tcW w:w="0" w:type="auto"/>
          </w:tcPr>
          <w:p w14:paraId="68F8BEC3"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Valid Percent (%)</w:t>
            </w:r>
          </w:p>
        </w:tc>
      </w:tr>
      <w:tr w:rsidR="00AD7D88" w:rsidRPr="005871E7" w14:paraId="691DF8CA" w14:textId="77777777" w:rsidTr="002C3392">
        <w:tc>
          <w:tcPr>
            <w:tcW w:w="0" w:type="auto"/>
          </w:tcPr>
          <w:p w14:paraId="0A8ED2C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No</w:t>
            </w:r>
          </w:p>
        </w:tc>
        <w:tc>
          <w:tcPr>
            <w:tcW w:w="0" w:type="auto"/>
          </w:tcPr>
          <w:p w14:paraId="2439A6F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596</w:t>
            </w:r>
          </w:p>
        </w:tc>
        <w:tc>
          <w:tcPr>
            <w:tcW w:w="0" w:type="auto"/>
          </w:tcPr>
          <w:p w14:paraId="52C716D0"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7.4</w:t>
            </w:r>
          </w:p>
        </w:tc>
        <w:tc>
          <w:tcPr>
            <w:tcW w:w="0" w:type="auto"/>
          </w:tcPr>
          <w:p w14:paraId="3AC3158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49.9</w:t>
            </w:r>
          </w:p>
        </w:tc>
      </w:tr>
      <w:tr w:rsidR="00AD7D88" w:rsidRPr="005871E7" w14:paraId="0DC2B2B0" w14:textId="77777777" w:rsidTr="002C3392">
        <w:tc>
          <w:tcPr>
            <w:tcW w:w="0" w:type="auto"/>
          </w:tcPr>
          <w:p w14:paraId="3DDE5D4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Yes</w:t>
            </w:r>
          </w:p>
        </w:tc>
        <w:tc>
          <w:tcPr>
            <w:tcW w:w="0" w:type="auto"/>
          </w:tcPr>
          <w:p w14:paraId="16AD95A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598</w:t>
            </w:r>
          </w:p>
        </w:tc>
        <w:tc>
          <w:tcPr>
            <w:tcW w:w="0" w:type="auto"/>
          </w:tcPr>
          <w:p w14:paraId="1C541E16"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7.4</w:t>
            </w:r>
          </w:p>
        </w:tc>
        <w:tc>
          <w:tcPr>
            <w:tcW w:w="0" w:type="auto"/>
          </w:tcPr>
          <w:p w14:paraId="6212FEB8"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50.1</w:t>
            </w:r>
          </w:p>
        </w:tc>
      </w:tr>
      <w:tr w:rsidR="00AD7D88" w:rsidRPr="005871E7" w14:paraId="797F2129" w14:textId="77777777" w:rsidTr="002C3392">
        <w:tc>
          <w:tcPr>
            <w:tcW w:w="0" w:type="auto"/>
          </w:tcPr>
          <w:p w14:paraId="014DB540"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Missing/NA</w:t>
            </w:r>
          </w:p>
        </w:tc>
        <w:tc>
          <w:tcPr>
            <w:tcW w:w="0" w:type="auto"/>
          </w:tcPr>
          <w:p w14:paraId="1D2F0B4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6847</w:t>
            </w:r>
          </w:p>
        </w:tc>
        <w:tc>
          <w:tcPr>
            <w:tcW w:w="0" w:type="auto"/>
          </w:tcPr>
          <w:p w14:paraId="30D07105"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85.2</w:t>
            </w:r>
          </w:p>
        </w:tc>
        <w:tc>
          <w:tcPr>
            <w:tcW w:w="0" w:type="auto"/>
          </w:tcPr>
          <w:p w14:paraId="478CA41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w:t>
            </w:r>
          </w:p>
        </w:tc>
      </w:tr>
    </w:tbl>
    <w:p w14:paraId="1D282984" w14:textId="77777777" w:rsidR="00AD7D88" w:rsidRPr="005871E7" w:rsidRDefault="00AD7D88" w:rsidP="00AD7D88">
      <w:pPr>
        <w:pStyle w:val="Heading4"/>
        <w:spacing w:line="360" w:lineRule="auto"/>
        <w:jc w:val="both"/>
        <w:rPr>
          <w:rFonts w:ascii="Garamond" w:hAnsi="Garamond"/>
        </w:rPr>
      </w:pPr>
      <w:r w:rsidRPr="005871E7">
        <w:rPr>
          <w:rFonts w:ascii="Garamond" w:hAnsi="Garamond"/>
        </w:rPr>
        <w:t>Tetanus Toxoid (TT) Receipt</w:t>
      </w:r>
    </w:p>
    <w:p w14:paraId="28CD7E1A"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A total of 36.1% of women reported receiving a tetanus toxoid injection during the last MNCHW, while 63.9% did not.</w:t>
      </w:r>
    </w:p>
    <w:tbl>
      <w:tblPr>
        <w:tblStyle w:val="Table"/>
        <w:tblW w:w="0" w:type="auto"/>
        <w:tblLook w:val="0020" w:firstRow="1" w:lastRow="0" w:firstColumn="0" w:lastColumn="0" w:noHBand="0" w:noVBand="0"/>
      </w:tblPr>
      <w:tblGrid>
        <w:gridCol w:w="3081"/>
        <w:gridCol w:w="666"/>
        <w:gridCol w:w="1321"/>
      </w:tblGrid>
      <w:tr w:rsidR="00AD7D88" w:rsidRPr="005871E7" w14:paraId="675C507E"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0" w:type="auto"/>
          </w:tcPr>
          <w:p w14:paraId="6E6B7A6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TT Received at Last MNCHW</w:t>
            </w:r>
          </w:p>
        </w:tc>
        <w:tc>
          <w:tcPr>
            <w:tcW w:w="0" w:type="auto"/>
          </w:tcPr>
          <w:p w14:paraId="2C4445F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w:t>
            </w:r>
          </w:p>
        </w:tc>
        <w:tc>
          <w:tcPr>
            <w:tcW w:w="0" w:type="auto"/>
          </w:tcPr>
          <w:p w14:paraId="523C1E1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Percent (%)</w:t>
            </w:r>
          </w:p>
        </w:tc>
      </w:tr>
      <w:tr w:rsidR="00AD7D88" w:rsidRPr="005871E7" w14:paraId="30E8F474" w14:textId="77777777" w:rsidTr="002C3392">
        <w:tc>
          <w:tcPr>
            <w:tcW w:w="0" w:type="auto"/>
          </w:tcPr>
          <w:p w14:paraId="5B88EBA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No</w:t>
            </w:r>
          </w:p>
        </w:tc>
        <w:tc>
          <w:tcPr>
            <w:tcW w:w="0" w:type="auto"/>
          </w:tcPr>
          <w:p w14:paraId="2EC6605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5139</w:t>
            </w:r>
          </w:p>
        </w:tc>
        <w:tc>
          <w:tcPr>
            <w:tcW w:w="0" w:type="auto"/>
          </w:tcPr>
          <w:p w14:paraId="0B6B5D5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63.9</w:t>
            </w:r>
          </w:p>
        </w:tc>
      </w:tr>
      <w:tr w:rsidR="00AD7D88" w:rsidRPr="005871E7" w14:paraId="04B92F1E" w14:textId="77777777" w:rsidTr="002C3392">
        <w:tc>
          <w:tcPr>
            <w:tcW w:w="0" w:type="auto"/>
          </w:tcPr>
          <w:p w14:paraId="73F6C6C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Yes</w:t>
            </w:r>
          </w:p>
        </w:tc>
        <w:tc>
          <w:tcPr>
            <w:tcW w:w="0" w:type="auto"/>
          </w:tcPr>
          <w:p w14:paraId="5D359D4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2902</w:t>
            </w:r>
          </w:p>
        </w:tc>
        <w:tc>
          <w:tcPr>
            <w:tcW w:w="0" w:type="auto"/>
          </w:tcPr>
          <w:p w14:paraId="6CE0BCD5"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36.1</w:t>
            </w:r>
          </w:p>
        </w:tc>
      </w:tr>
    </w:tbl>
    <w:p w14:paraId="4F514F90" w14:textId="77777777" w:rsidR="00AD7D88" w:rsidRPr="005871E7" w:rsidRDefault="00AD7D88" w:rsidP="00AD7D88">
      <w:pPr>
        <w:pStyle w:val="Heading4"/>
        <w:spacing w:line="360" w:lineRule="auto"/>
        <w:jc w:val="both"/>
        <w:rPr>
          <w:rFonts w:ascii="Garamond" w:hAnsi="Garamond"/>
        </w:rPr>
      </w:pPr>
      <w:r w:rsidRPr="005871E7">
        <w:rPr>
          <w:rFonts w:ascii="Garamond" w:hAnsi="Garamond"/>
        </w:rPr>
        <w:t>Antenatal and Postnatal Care (ANC/PNC) Services</w:t>
      </w:r>
    </w:p>
    <w:p w14:paraId="7D6633F5"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 xml:space="preserve">Regarding ANC services, 13.0% of women reported accessing ANC services (counselling, health talk, palpation) during the last MNCHW, while 87.0% did not. However, a large share (65.2%) did not answer this question. For PNC, only 4.3% of valid responses indicated receipt of postnatal care, and 95.7% indicated they did not; again, </w:t>
      </w:r>
      <w:proofErr w:type="gramStart"/>
      <w:r w:rsidRPr="005871E7">
        <w:rPr>
          <w:rFonts w:ascii="Garamond" w:hAnsi="Garamond"/>
        </w:rPr>
        <w:t>a majority of</w:t>
      </w:r>
      <w:proofErr w:type="gramEnd"/>
      <w:r w:rsidRPr="005871E7">
        <w:rPr>
          <w:rFonts w:ascii="Garamond" w:hAnsi="Garamond"/>
        </w:rPr>
        <w:t xml:space="preserve"> cases (65.2%) were missing or unreported.</w:t>
      </w:r>
    </w:p>
    <w:tbl>
      <w:tblPr>
        <w:tblStyle w:val="Table"/>
        <w:tblW w:w="0" w:type="auto"/>
        <w:tblLook w:val="0020" w:firstRow="1" w:lastRow="0" w:firstColumn="0" w:lastColumn="0" w:noHBand="0" w:noVBand="0"/>
      </w:tblPr>
      <w:tblGrid>
        <w:gridCol w:w="3199"/>
        <w:gridCol w:w="666"/>
        <w:gridCol w:w="1321"/>
        <w:gridCol w:w="1871"/>
      </w:tblGrid>
      <w:tr w:rsidR="00AD7D88" w:rsidRPr="005871E7" w14:paraId="645333E7"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0" w:type="auto"/>
          </w:tcPr>
          <w:p w14:paraId="54E4266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lastRenderedPageBreak/>
              <w:t>ANC Services at Last MNCHW</w:t>
            </w:r>
          </w:p>
        </w:tc>
        <w:tc>
          <w:tcPr>
            <w:tcW w:w="0" w:type="auto"/>
          </w:tcPr>
          <w:p w14:paraId="4FA13220"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w:t>
            </w:r>
          </w:p>
        </w:tc>
        <w:tc>
          <w:tcPr>
            <w:tcW w:w="0" w:type="auto"/>
          </w:tcPr>
          <w:p w14:paraId="760CDC20"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Percent (%)</w:t>
            </w:r>
          </w:p>
        </w:tc>
        <w:tc>
          <w:tcPr>
            <w:tcW w:w="0" w:type="auto"/>
          </w:tcPr>
          <w:p w14:paraId="6665A40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Valid Percent (%)</w:t>
            </w:r>
          </w:p>
        </w:tc>
      </w:tr>
      <w:tr w:rsidR="00AD7D88" w:rsidRPr="005871E7" w14:paraId="1D425615" w14:textId="77777777" w:rsidTr="002C3392">
        <w:tc>
          <w:tcPr>
            <w:tcW w:w="0" w:type="auto"/>
          </w:tcPr>
          <w:p w14:paraId="66FB130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No</w:t>
            </w:r>
          </w:p>
        </w:tc>
        <w:tc>
          <w:tcPr>
            <w:tcW w:w="0" w:type="auto"/>
          </w:tcPr>
          <w:p w14:paraId="4917271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2437</w:t>
            </w:r>
          </w:p>
        </w:tc>
        <w:tc>
          <w:tcPr>
            <w:tcW w:w="0" w:type="auto"/>
          </w:tcPr>
          <w:p w14:paraId="1843E59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30.3</w:t>
            </w:r>
          </w:p>
        </w:tc>
        <w:tc>
          <w:tcPr>
            <w:tcW w:w="0" w:type="auto"/>
          </w:tcPr>
          <w:p w14:paraId="7FCAAC56"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87.0</w:t>
            </w:r>
          </w:p>
        </w:tc>
      </w:tr>
      <w:tr w:rsidR="00AD7D88" w:rsidRPr="005871E7" w14:paraId="36B50CFA" w14:textId="77777777" w:rsidTr="002C3392">
        <w:tc>
          <w:tcPr>
            <w:tcW w:w="0" w:type="auto"/>
          </w:tcPr>
          <w:p w14:paraId="14ED1A68"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Yes</w:t>
            </w:r>
          </w:p>
        </w:tc>
        <w:tc>
          <w:tcPr>
            <w:tcW w:w="0" w:type="auto"/>
          </w:tcPr>
          <w:p w14:paraId="671AB2C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365</w:t>
            </w:r>
          </w:p>
        </w:tc>
        <w:tc>
          <w:tcPr>
            <w:tcW w:w="0" w:type="auto"/>
          </w:tcPr>
          <w:p w14:paraId="0649D344"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4.5</w:t>
            </w:r>
          </w:p>
        </w:tc>
        <w:tc>
          <w:tcPr>
            <w:tcW w:w="0" w:type="auto"/>
          </w:tcPr>
          <w:p w14:paraId="593A900C"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13.0</w:t>
            </w:r>
          </w:p>
        </w:tc>
      </w:tr>
      <w:tr w:rsidR="00AD7D88" w:rsidRPr="005871E7" w14:paraId="2ACAC9C8" w14:textId="77777777" w:rsidTr="002C3392">
        <w:tc>
          <w:tcPr>
            <w:tcW w:w="0" w:type="auto"/>
          </w:tcPr>
          <w:p w14:paraId="5ABFACE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Missing/NA</w:t>
            </w:r>
          </w:p>
        </w:tc>
        <w:tc>
          <w:tcPr>
            <w:tcW w:w="0" w:type="auto"/>
          </w:tcPr>
          <w:p w14:paraId="065840A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5239</w:t>
            </w:r>
          </w:p>
        </w:tc>
        <w:tc>
          <w:tcPr>
            <w:tcW w:w="0" w:type="auto"/>
          </w:tcPr>
          <w:p w14:paraId="02B6203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65.2</w:t>
            </w:r>
          </w:p>
        </w:tc>
        <w:tc>
          <w:tcPr>
            <w:tcW w:w="0" w:type="auto"/>
          </w:tcPr>
          <w:p w14:paraId="1FFF9383"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w:t>
            </w:r>
          </w:p>
        </w:tc>
      </w:tr>
    </w:tbl>
    <w:p w14:paraId="40ABC92F" w14:textId="77777777" w:rsidR="00AD7D88" w:rsidRPr="005871E7" w:rsidRDefault="00AD7D88" w:rsidP="00AD7D88">
      <w:pPr>
        <w:spacing w:line="360" w:lineRule="auto"/>
        <w:jc w:val="both"/>
        <w:rPr>
          <w:rFonts w:ascii="Garamond" w:hAnsi="Garamond"/>
        </w:rPr>
      </w:pPr>
    </w:p>
    <w:tbl>
      <w:tblPr>
        <w:tblStyle w:val="Table"/>
        <w:tblW w:w="0" w:type="auto"/>
        <w:tblLook w:val="0020" w:firstRow="1" w:lastRow="0" w:firstColumn="0" w:lastColumn="0" w:noHBand="0" w:noVBand="0"/>
      </w:tblPr>
      <w:tblGrid>
        <w:gridCol w:w="3171"/>
        <w:gridCol w:w="666"/>
        <w:gridCol w:w="1321"/>
        <w:gridCol w:w="1871"/>
      </w:tblGrid>
      <w:tr w:rsidR="00AD7D88" w:rsidRPr="005871E7" w14:paraId="21BCAE65"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0" w:type="auto"/>
          </w:tcPr>
          <w:p w14:paraId="1951ED83"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PNC Services at Last MNCHW</w:t>
            </w:r>
          </w:p>
        </w:tc>
        <w:tc>
          <w:tcPr>
            <w:tcW w:w="0" w:type="auto"/>
          </w:tcPr>
          <w:p w14:paraId="77118178"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w:t>
            </w:r>
          </w:p>
        </w:tc>
        <w:tc>
          <w:tcPr>
            <w:tcW w:w="0" w:type="auto"/>
          </w:tcPr>
          <w:p w14:paraId="75A0D25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Percent (%)</w:t>
            </w:r>
          </w:p>
        </w:tc>
        <w:tc>
          <w:tcPr>
            <w:tcW w:w="0" w:type="auto"/>
          </w:tcPr>
          <w:p w14:paraId="35B2A6F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Valid Percent (%)</w:t>
            </w:r>
          </w:p>
        </w:tc>
      </w:tr>
      <w:tr w:rsidR="00AD7D88" w:rsidRPr="005871E7" w14:paraId="413FD5D1" w14:textId="77777777" w:rsidTr="002C3392">
        <w:tc>
          <w:tcPr>
            <w:tcW w:w="0" w:type="auto"/>
          </w:tcPr>
          <w:p w14:paraId="5E7B2FE8"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No</w:t>
            </w:r>
          </w:p>
        </w:tc>
        <w:tc>
          <w:tcPr>
            <w:tcW w:w="0" w:type="auto"/>
          </w:tcPr>
          <w:p w14:paraId="36E9C19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2681</w:t>
            </w:r>
          </w:p>
        </w:tc>
        <w:tc>
          <w:tcPr>
            <w:tcW w:w="0" w:type="auto"/>
          </w:tcPr>
          <w:p w14:paraId="40B5277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33.3</w:t>
            </w:r>
          </w:p>
        </w:tc>
        <w:tc>
          <w:tcPr>
            <w:tcW w:w="0" w:type="auto"/>
          </w:tcPr>
          <w:p w14:paraId="00B8812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95.7</w:t>
            </w:r>
          </w:p>
        </w:tc>
      </w:tr>
      <w:tr w:rsidR="00AD7D88" w:rsidRPr="005871E7" w14:paraId="61ADBB77" w14:textId="77777777" w:rsidTr="002C3392">
        <w:tc>
          <w:tcPr>
            <w:tcW w:w="0" w:type="auto"/>
          </w:tcPr>
          <w:p w14:paraId="48FA7730"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Yes</w:t>
            </w:r>
          </w:p>
        </w:tc>
        <w:tc>
          <w:tcPr>
            <w:tcW w:w="0" w:type="auto"/>
          </w:tcPr>
          <w:p w14:paraId="4BBB3D96"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121</w:t>
            </w:r>
          </w:p>
        </w:tc>
        <w:tc>
          <w:tcPr>
            <w:tcW w:w="0" w:type="auto"/>
          </w:tcPr>
          <w:p w14:paraId="6936727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1.5</w:t>
            </w:r>
          </w:p>
        </w:tc>
        <w:tc>
          <w:tcPr>
            <w:tcW w:w="0" w:type="auto"/>
          </w:tcPr>
          <w:p w14:paraId="68D22A4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4.3</w:t>
            </w:r>
          </w:p>
        </w:tc>
      </w:tr>
      <w:tr w:rsidR="00AD7D88" w:rsidRPr="005871E7" w14:paraId="0FB79E67" w14:textId="77777777" w:rsidTr="002C3392">
        <w:tc>
          <w:tcPr>
            <w:tcW w:w="0" w:type="auto"/>
          </w:tcPr>
          <w:p w14:paraId="60FDA8DC"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Missing/NA</w:t>
            </w:r>
          </w:p>
        </w:tc>
        <w:tc>
          <w:tcPr>
            <w:tcW w:w="0" w:type="auto"/>
          </w:tcPr>
          <w:p w14:paraId="7E43D796"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5239</w:t>
            </w:r>
          </w:p>
        </w:tc>
        <w:tc>
          <w:tcPr>
            <w:tcW w:w="0" w:type="auto"/>
          </w:tcPr>
          <w:p w14:paraId="0BB28344"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65.2</w:t>
            </w:r>
          </w:p>
        </w:tc>
        <w:tc>
          <w:tcPr>
            <w:tcW w:w="0" w:type="auto"/>
          </w:tcPr>
          <w:p w14:paraId="5A627F3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w:t>
            </w:r>
          </w:p>
        </w:tc>
      </w:tr>
    </w:tbl>
    <w:p w14:paraId="12449017" w14:textId="77777777" w:rsidR="00AD7D88" w:rsidRPr="005871E7" w:rsidRDefault="00AD7D88" w:rsidP="00AD7D88">
      <w:pPr>
        <w:pStyle w:val="Heading4"/>
        <w:spacing w:line="360" w:lineRule="auto"/>
        <w:jc w:val="both"/>
        <w:rPr>
          <w:rFonts w:ascii="Garamond" w:hAnsi="Garamond"/>
        </w:rPr>
      </w:pPr>
      <w:r w:rsidRPr="005871E7">
        <w:rPr>
          <w:rFonts w:ascii="Garamond" w:hAnsi="Garamond"/>
        </w:rPr>
        <w:t>Source of Service for IFAS</w:t>
      </w:r>
    </w:p>
    <w:p w14:paraId="6B587E72"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Almost all respondents (99.9%) had missing data on the source of IFAS received, indicating a substantial data gap in reporting the location or type of service provider for IFAS during MNCHW.</w:t>
      </w:r>
    </w:p>
    <w:tbl>
      <w:tblPr>
        <w:tblStyle w:val="Table"/>
        <w:tblW w:w="5000" w:type="pct"/>
        <w:tblLayout w:type="fixed"/>
        <w:tblLook w:val="0020" w:firstRow="1" w:lastRow="0" w:firstColumn="0" w:lastColumn="0" w:noHBand="0" w:noVBand="0"/>
      </w:tblPr>
      <w:tblGrid>
        <w:gridCol w:w="4304"/>
        <w:gridCol w:w="832"/>
        <w:gridCol w:w="1804"/>
        <w:gridCol w:w="2636"/>
      </w:tblGrid>
      <w:tr w:rsidR="00AD7D88" w:rsidRPr="005871E7" w14:paraId="69CBD5A3"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3558" w:type="dxa"/>
          </w:tcPr>
          <w:p w14:paraId="3CF7CF2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Source of IFAS Supplementation</w:t>
            </w:r>
          </w:p>
        </w:tc>
        <w:tc>
          <w:tcPr>
            <w:tcW w:w="688" w:type="dxa"/>
          </w:tcPr>
          <w:p w14:paraId="09D3E39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w:t>
            </w:r>
          </w:p>
        </w:tc>
        <w:tc>
          <w:tcPr>
            <w:tcW w:w="1492" w:type="dxa"/>
          </w:tcPr>
          <w:p w14:paraId="20CFD7F4"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Percent (%)</w:t>
            </w:r>
          </w:p>
        </w:tc>
        <w:tc>
          <w:tcPr>
            <w:tcW w:w="2180" w:type="dxa"/>
          </w:tcPr>
          <w:p w14:paraId="609C5DE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Valid Percent (%)</w:t>
            </w:r>
          </w:p>
        </w:tc>
      </w:tr>
      <w:tr w:rsidR="00AD7D88" w:rsidRPr="005871E7" w14:paraId="49AD8F93" w14:textId="77777777" w:rsidTr="002C3392">
        <w:tc>
          <w:tcPr>
            <w:tcW w:w="3558" w:type="dxa"/>
          </w:tcPr>
          <w:p w14:paraId="4BCFC32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Missing/NA</w:t>
            </w:r>
          </w:p>
        </w:tc>
        <w:tc>
          <w:tcPr>
            <w:tcW w:w="688" w:type="dxa"/>
          </w:tcPr>
          <w:p w14:paraId="7C7F83F0"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8041</w:t>
            </w:r>
          </w:p>
        </w:tc>
        <w:tc>
          <w:tcPr>
            <w:tcW w:w="1492" w:type="dxa"/>
          </w:tcPr>
          <w:p w14:paraId="42F5924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100.0</w:t>
            </w:r>
          </w:p>
        </w:tc>
        <w:tc>
          <w:tcPr>
            <w:tcW w:w="2180" w:type="dxa"/>
          </w:tcPr>
          <w:p w14:paraId="61F9DD5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w:t>
            </w:r>
          </w:p>
        </w:tc>
      </w:tr>
    </w:tbl>
    <w:p w14:paraId="2269D7FD" w14:textId="77777777" w:rsidR="00AD7D88" w:rsidRPr="005871E7" w:rsidRDefault="00AD7D88" w:rsidP="00AD7D88">
      <w:pPr>
        <w:pStyle w:val="BodyText"/>
        <w:spacing w:line="360" w:lineRule="auto"/>
        <w:jc w:val="both"/>
        <w:rPr>
          <w:rFonts w:ascii="Garamond" w:hAnsi="Garamond"/>
        </w:rPr>
      </w:pPr>
      <w:r w:rsidRPr="005871E7">
        <w:rPr>
          <w:rFonts w:ascii="Garamond" w:hAnsi="Garamond"/>
        </w:rPr>
        <w:t xml:space="preserve">The findings highlight low reported coverage of key maternal health interventions among women of childbearing age during the last MNCHW, with only about one-third of women receiving tetanus toxoid and a very small proportion reporting receipt of iron/folic acid, ANC, or PNC services. The high rate of missing responses for these indicators suggests possible challenges in data collection or </w:t>
      </w:r>
      <w:proofErr w:type="gramStart"/>
      <w:r w:rsidRPr="005871E7">
        <w:rPr>
          <w:rFonts w:ascii="Garamond" w:hAnsi="Garamond"/>
        </w:rPr>
        <w:t>recall, and</w:t>
      </w:r>
      <w:proofErr w:type="gramEnd"/>
      <w:r w:rsidRPr="005871E7">
        <w:rPr>
          <w:rFonts w:ascii="Garamond" w:hAnsi="Garamond"/>
        </w:rPr>
        <w:t xml:space="preserve"> warrants cautious interpretation of the estimates. Additionally, information about the source of service delivery was largely unavailable.</w:t>
      </w:r>
    </w:p>
    <w:p w14:paraId="518FD9BA" w14:textId="77777777" w:rsidR="00AD7D88" w:rsidRPr="005871E7" w:rsidRDefault="00AD7D88" w:rsidP="00AD7D88">
      <w:pPr>
        <w:pStyle w:val="BodyText"/>
        <w:spacing w:line="360" w:lineRule="auto"/>
        <w:jc w:val="both"/>
        <w:rPr>
          <w:rFonts w:ascii="Garamond" w:hAnsi="Garamond"/>
        </w:rPr>
      </w:pPr>
      <w:proofErr w:type="spellStart"/>
      <w:r w:rsidRPr="005871E7">
        <w:rPr>
          <w:rFonts w:ascii="Garamond" w:hAnsi="Garamond"/>
          <w:b/>
          <w:bCs/>
        </w:rPr>
        <w:t>SUmmary</w:t>
      </w:r>
      <w:proofErr w:type="spellEnd"/>
      <w:r w:rsidRPr="005871E7">
        <w:rPr>
          <w:rFonts w:ascii="Garamond" w:hAnsi="Garamond"/>
          <w:b/>
          <w:bCs/>
        </w:rPr>
        <w:t xml:space="preserve"> table For Indicators for Women of Childbearing Age (15–49 years</w:t>
      </w:r>
    </w:p>
    <w:tbl>
      <w:tblPr>
        <w:tblStyle w:val="Table"/>
        <w:tblW w:w="5000" w:type="pct"/>
        <w:tblLayout w:type="fixed"/>
        <w:tblLook w:val="0020" w:firstRow="1" w:lastRow="0" w:firstColumn="0" w:lastColumn="0" w:noHBand="0" w:noVBand="0"/>
      </w:tblPr>
      <w:tblGrid>
        <w:gridCol w:w="6506"/>
        <w:gridCol w:w="1625"/>
        <w:gridCol w:w="1445"/>
      </w:tblGrid>
      <w:tr w:rsidR="00AD7D88" w:rsidRPr="005871E7" w14:paraId="15500BBA"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5379" w:type="dxa"/>
          </w:tcPr>
          <w:p w14:paraId="16A0A61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Indicator</w:t>
            </w:r>
          </w:p>
        </w:tc>
        <w:tc>
          <w:tcPr>
            <w:tcW w:w="1344" w:type="dxa"/>
          </w:tcPr>
          <w:p w14:paraId="2C107AF3"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Yes (%)</w:t>
            </w:r>
          </w:p>
        </w:tc>
        <w:tc>
          <w:tcPr>
            <w:tcW w:w="1195" w:type="dxa"/>
          </w:tcPr>
          <w:p w14:paraId="0F4997C5"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No (%)</w:t>
            </w:r>
          </w:p>
        </w:tc>
      </w:tr>
      <w:tr w:rsidR="00AD7D88" w:rsidRPr="005871E7" w14:paraId="6DE7B6B8" w14:textId="77777777" w:rsidTr="002C3392">
        <w:tc>
          <w:tcPr>
            <w:tcW w:w="5379" w:type="dxa"/>
          </w:tcPr>
          <w:p w14:paraId="3ADEAA06"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Received iron and folic acid (IFAS) during last MNCHW</w:t>
            </w:r>
          </w:p>
        </w:tc>
        <w:tc>
          <w:tcPr>
            <w:tcW w:w="1344" w:type="dxa"/>
          </w:tcPr>
          <w:p w14:paraId="0B2D7EA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7.4</w:t>
            </w:r>
          </w:p>
        </w:tc>
        <w:tc>
          <w:tcPr>
            <w:tcW w:w="1195" w:type="dxa"/>
          </w:tcPr>
          <w:p w14:paraId="6B60714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7.4</w:t>
            </w:r>
          </w:p>
        </w:tc>
      </w:tr>
      <w:tr w:rsidR="00AD7D88" w:rsidRPr="005871E7" w14:paraId="11254D8C" w14:textId="77777777" w:rsidTr="002C3392">
        <w:tc>
          <w:tcPr>
            <w:tcW w:w="5379" w:type="dxa"/>
          </w:tcPr>
          <w:p w14:paraId="6D59949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Received tetanus toxoid (TT)</w:t>
            </w:r>
          </w:p>
        </w:tc>
        <w:tc>
          <w:tcPr>
            <w:tcW w:w="1344" w:type="dxa"/>
          </w:tcPr>
          <w:p w14:paraId="20A59C4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36.1</w:t>
            </w:r>
          </w:p>
        </w:tc>
        <w:tc>
          <w:tcPr>
            <w:tcW w:w="1195" w:type="dxa"/>
          </w:tcPr>
          <w:p w14:paraId="0C681CC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63.9</w:t>
            </w:r>
          </w:p>
        </w:tc>
      </w:tr>
      <w:tr w:rsidR="00AD7D88" w:rsidRPr="005871E7" w14:paraId="4A24BBBF" w14:textId="77777777" w:rsidTr="002C3392">
        <w:tc>
          <w:tcPr>
            <w:tcW w:w="5379" w:type="dxa"/>
          </w:tcPr>
          <w:p w14:paraId="5F1CB75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Received ANC services</w:t>
            </w:r>
          </w:p>
        </w:tc>
        <w:tc>
          <w:tcPr>
            <w:tcW w:w="1344" w:type="dxa"/>
          </w:tcPr>
          <w:p w14:paraId="6BB3843C"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4.5</w:t>
            </w:r>
          </w:p>
        </w:tc>
        <w:tc>
          <w:tcPr>
            <w:tcW w:w="1195" w:type="dxa"/>
          </w:tcPr>
          <w:p w14:paraId="60E4F1F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30.3</w:t>
            </w:r>
          </w:p>
        </w:tc>
      </w:tr>
      <w:tr w:rsidR="00AD7D88" w:rsidRPr="005871E7" w14:paraId="35ABB652" w14:textId="77777777" w:rsidTr="002C3392">
        <w:tc>
          <w:tcPr>
            <w:tcW w:w="5379" w:type="dxa"/>
          </w:tcPr>
          <w:p w14:paraId="7E436EB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Received PNC services</w:t>
            </w:r>
          </w:p>
        </w:tc>
        <w:tc>
          <w:tcPr>
            <w:tcW w:w="1344" w:type="dxa"/>
          </w:tcPr>
          <w:p w14:paraId="7BFC5F7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1.5</w:t>
            </w:r>
          </w:p>
        </w:tc>
        <w:tc>
          <w:tcPr>
            <w:tcW w:w="1195" w:type="dxa"/>
          </w:tcPr>
          <w:p w14:paraId="1BE830F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33.3</w:t>
            </w:r>
          </w:p>
        </w:tc>
      </w:tr>
    </w:tbl>
    <w:p w14:paraId="4328AB76" w14:textId="77777777" w:rsidR="00AD7D88" w:rsidRPr="005871E7" w:rsidRDefault="00AD7D88" w:rsidP="00AD7D88">
      <w:pPr>
        <w:pStyle w:val="Heading1"/>
        <w:spacing w:line="360" w:lineRule="auto"/>
        <w:jc w:val="both"/>
        <w:rPr>
          <w:rFonts w:ascii="Garamond" w:hAnsi="Garamond"/>
        </w:rPr>
      </w:pPr>
      <w:bookmarkStart w:id="2" w:name="X9a0b637b19b8f285e189032363ffcfa976733b4"/>
      <w:bookmarkStart w:id="3" w:name="_Toc201569015"/>
      <w:r w:rsidRPr="005871E7">
        <w:rPr>
          <w:rFonts w:ascii="Garamond" w:hAnsi="Garamond"/>
        </w:rPr>
        <w:lastRenderedPageBreak/>
        <w:t>Section 2: Primary Indicators by Research Objective</w:t>
      </w:r>
      <w:bookmarkEnd w:id="3"/>
    </w:p>
    <w:p w14:paraId="0A46AFE1" w14:textId="77777777" w:rsidR="00AD7D88" w:rsidRPr="005871E7" w:rsidRDefault="00AD7D88" w:rsidP="00AD7D88">
      <w:pPr>
        <w:pStyle w:val="Heading2"/>
        <w:spacing w:line="360" w:lineRule="auto"/>
        <w:jc w:val="both"/>
        <w:rPr>
          <w:rFonts w:ascii="Garamond" w:hAnsi="Garamond"/>
        </w:rPr>
      </w:pPr>
      <w:bookmarkStart w:id="4" w:name="Xcb5e4d22822b71a27517fe249883ac326834bf5"/>
      <w:bookmarkStart w:id="5" w:name="_Toc201569016"/>
      <w:r w:rsidRPr="005871E7">
        <w:rPr>
          <w:rFonts w:ascii="Garamond" w:hAnsi="Garamond"/>
        </w:rPr>
        <w:t>Objective 1: Effect of Integrating VAS with SMC on Uptake of MNCHW Interventions</w:t>
      </w:r>
      <w:bookmarkEnd w:id="5"/>
    </w:p>
    <w:p w14:paraId="54D5EE54"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This section presents the coverage of core MNCHW interventions among the target groups, reporting on both children aged 6–59 months and women of childbearing age (15–49 years).</w:t>
      </w:r>
    </w:p>
    <w:p w14:paraId="2E24F112" w14:textId="77777777" w:rsidR="00AD7D88" w:rsidRPr="005871E7" w:rsidRDefault="00AD7D88" w:rsidP="00AD7D88">
      <w:pPr>
        <w:pStyle w:val="Heading3"/>
        <w:spacing w:line="360" w:lineRule="auto"/>
        <w:jc w:val="both"/>
        <w:rPr>
          <w:rFonts w:ascii="Garamond" w:hAnsi="Garamond"/>
        </w:rPr>
      </w:pPr>
      <w:bookmarkStart w:id="6" w:name="children-aged-659-months"/>
      <w:r w:rsidRPr="005871E7">
        <w:rPr>
          <w:rFonts w:ascii="Garamond" w:hAnsi="Garamond"/>
        </w:rPr>
        <w:t>1. Children Aged 6–59 Months</w:t>
      </w:r>
    </w:p>
    <w:p w14:paraId="5A41103C" w14:textId="77777777" w:rsidR="00AD7D88" w:rsidRPr="005871E7" w:rsidRDefault="00AD7D88" w:rsidP="00AD7D88">
      <w:pPr>
        <w:pStyle w:val="Heading4"/>
        <w:spacing w:line="360" w:lineRule="auto"/>
        <w:jc w:val="both"/>
        <w:rPr>
          <w:rFonts w:ascii="Garamond" w:hAnsi="Garamond"/>
        </w:rPr>
      </w:pPr>
      <w:bookmarkStart w:id="7" w:name="a-coverage-of-deworming-albendazole"/>
      <w:r w:rsidRPr="005871E7">
        <w:rPr>
          <w:rFonts w:ascii="Garamond" w:hAnsi="Garamond"/>
        </w:rPr>
        <w:t>a) Coverage of Deworming (Albendazole)</w:t>
      </w:r>
    </w:p>
    <w:p w14:paraId="0D18BFB1"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 xml:space="preserve">During the last MNCHW campaign, </w:t>
      </w:r>
      <w:r w:rsidRPr="005871E7">
        <w:rPr>
          <w:rFonts w:ascii="Garamond" w:hAnsi="Garamond"/>
          <w:b/>
          <w:bCs/>
        </w:rPr>
        <w:t>32.3%</w:t>
      </w:r>
      <w:r w:rsidRPr="005871E7">
        <w:rPr>
          <w:rFonts w:ascii="Garamond" w:hAnsi="Garamond"/>
        </w:rPr>
        <w:t xml:space="preserve"> of children aged 6–59 months received a deworming tablet from any source (community drug distributor, health facility, or outreach post). However, </w:t>
      </w:r>
      <w:r w:rsidRPr="005871E7">
        <w:rPr>
          <w:rFonts w:ascii="Garamond" w:hAnsi="Garamond"/>
          <w:b/>
          <w:bCs/>
        </w:rPr>
        <w:t>67.7%</w:t>
      </w:r>
      <w:r w:rsidRPr="005871E7">
        <w:rPr>
          <w:rFonts w:ascii="Garamond" w:hAnsi="Garamond"/>
        </w:rPr>
        <w:t xml:space="preserve"> of children had no record of deworming receipt, reflecting either lack of uptake or incomplete data reporting.</w:t>
      </w:r>
    </w:p>
    <w:tbl>
      <w:tblPr>
        <w:tblStyle w:val="Table"/>
        <w:tblW w:w="0" w:type="auto"/>
        <w:tblLook w:val="0020" w:firstRow="1" w:lastRow="0" w:firstColumn="0" w:lastColumn="0" w:noHBand="0" w:noVBand="0"/>
      </w:tblPr>
      <w:tblGrid>
        <w:gridCol w:w="3359"/>
        <w:gridCol w:w="1189"/>
        <w:gridCol w:w="1321"/>
      </w:tblGrid>
      <w:tr w:rsidR="00AD7D88" w:rsidRPr="005871E7" w14:paraId="1A75CD39"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0" w:type="auto"/>
          </w:tcPr>
          <w:p w14:paraId="097EA060"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Deworming during last MNCHW</w:t>
            </w:r>
          </w:p>
        </w:tc>
        <w:tc>
          <w:tcPr>
            <w:tcW w:w="0" w:type="auto"/>
          </w:tcPr>
          <w:p w14:paraId="59DB49C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Frequency</w:t>
            </w:r>
          </w:p>
        </w:tc>
        <w:tc>
          <w:tcPr>
            <w:tcW w:w="0" w:type="auto"/>
          </w:tcPr>
          <w:p w14:paraId="4CA96AD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Percent (%)</w:t>
            </w:r>
          </w:p>
        </w:tc>
      </w:tr>
      <w:tr w:rsidR="00AD7D88" w:rsidRPr="005871E7" w14:paraId="0924DF0B" w14:textId="77777777" w:rsidTr="002C3392">
        <w:tc>
          <w:tcPr>
            <w:tcW w:w="0" w:type="auto"/>
          </w:tcPr>
          <w:p w14:paraId="344EBFE0"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Yes (any source)</w:t>
            </w:r>
          </w:p>
        </w:tc>
        <w:tc>
          <w:tcPr>
            <w:tcW w:w="0" w:type="auto"/>
          </w:tcPr>
          <w:p w14:paraId="4C23C8B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2,285</w:t>
            </w:r>
          </w:p>
        </w:tc>
        <w:tc>
          <w:tcPr>
            <w:tcW w:w="0" w:type="auto"/>
          </w:tcPr>
          <w:p w14:paraId="13D90F1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32.3</w:t>
            </w:r>
          </w:p>
        </w:tc>
      </w:tr>
      <w:tr w:rsidR="00AD7D88" w:rsidRPr="005871E7" w14:paraId="10871058" w14:textId="77777777" w:rsidTr="002C3392">
        <w:tc>
          <w:tcPr>
            <w:tcW w:w="0" w:type="auto"/>
          </w:tcPr>
          <w:p w14:paraId="668D5BD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No/Not recorded</w:t>
            </w:r>
          </w:p>
        </w:tc>
        <w:tc>
          <w:tcPr>
            <w:tcW w:w="0" w:type="auto"/>
          </w:tcPr>
          <w:p w14:paraId="580A60A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4,788</w:t>
            </w:r>
          </w:p>
        </w:tc>
        <w:tc>
          <w:tcPr>
            <w:tcW w:w="0" w:type="auto"/>
          </w:tcPr>
          <w:p w14:paraId="212B2DC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67.7</w:t>
            </w:r>
          </w:p>
        </w:tc>
      </w:tr>
    </w:tbl>
    <w:p w14:paraId="288AC188" w14:textId="77777777" w:rsidR="00AD7D88" w:rsidRPr="005871E7" w:rsidRDefault="00AD7D88" w:rsidP="00AD7D88">
      <w:pPr>
        <w:pStyle w:val="BodyText"/>
        <w:spacing w:line="360" w:lineRule="auto"/>
        <w:jc w:val="both"/>
        <w:rPr>
          <w:rFonts w:ascii="Garamond" w:hAnsi="Garamond"/>
        </w:rPr>
      </w:pPr>
      <w:r w:rsidRPr="005871E7">
        <w:rPr>
          <w:rFonts w:ascii="Garamond" w:hAnsi="Garamond"/>
          <w:noProof/>
        </w:rPr>
        <w:lastRenderedPageBreak/>
        <w:drawing>
          <wp:inline distT="0" distB="0" distL="0" distR="0" wp14:anchorId="53EDE319" wp14:editId="682E2B6B">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MC-SMCVAS-Baseline-Analysis_files/figure-docx/unnamed-chunk-29-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6E2F55C5" w14:textId="77777777" w:rsidR="00AD7D88" w:rsidRPr="005871E7" w:rsidRDefault="00AD7D88" w:rsidP="00AD7D88">
      <w:pPr>
        <w:pStyle w:val="Heading4"/>
        <w:spacing w:line="360" w:lineRule="auto"/>
        <w:jc w:val="both"/>
        <w:rPr>
          <w:rFonts w:ascii="Garamond" w:hAnsi="Garamond"/>
        </w:rPr>
      </w:pPr>
      <w:bookmarkStart w:id="8" w:name="coverage-of-albendazole-deworming-by-lga"/>
      <w:bookmarkEnd w:id="7"/>
      <w:r w:rsidRPr="005871E7">
        <w:rPr>
          <w:rFonts w:ascii="Garamond" w:hAnsi="Garamond"/>
        </w:rPr>
        <w:t>Coverage of Albendazole (Deworming) by LGA</w:t>
      </w:r>
    </w:p>
    <w:p w14:paraId="28FA5ED4"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The table below summarizes the proportion of children who received Albendazole (deworming) during the last MNCHW campaign, disaggregated by Local Government Area (LGA):</w:t>
      </w:r>
    </w:p>
    <w:tbl>
      <w:tblPr>
        <w:tblStyle w:val="Table"/>
        <w:tblW w:w="0" w:type="auto"/>
        <w:tblLook w:val="0020" w:firstRow="1" w:lastRow="0" w:firstColumn="0" w:lastColumn="0" w:noHBand="0" w:noVBand="0"/>
      </w:tblPr>
      <w:tblGrid>
        <w:gridCol w:w="1626"/>
        <w:gridCol w:w="2664"/>
        <w:gridCol w:w="1189"/>
      </w:tblGrid>
      <w:tr w:rsidR="00AD7D88" w:rsidRPr="005871E7" w14:paraId="4BEE9B9E"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0" w:type="auto"/>
          </w:tcPr>
          <w:p w14:paraId="2814B306"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LGA</w:t>
            </w:r>
          </w:p>
        </w:tc>
        <w:tc>
          <w:tcPr>
            <w:tcW w:w="0" w:type="auto"/>
          </w:tcPr>
          <w:p w14:paraId="3D24B603"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Deworming Coverage (%)</w:t>
            </w:r>
          </w:p>
        </w:tc>
        <w:tc>
          <w:tcPr>
            <w:tcW w:w="0" w:type="auto"/>
          </w:tcPr>
          <w:p w14:paraId="446759D8"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Frequency</w:t>
            </w:r>
          </w:p>
        </w:tc>
      </w:tr>
      <w:tr w:rsidR="00AD7D88" w:rsidRPr="005871E7" w14:paraId="445124AC" w14:textId="77777777" w:rsidTr="002C3392">
        <w:tc>
          <w:tcPr>
            <w:tcW w:w="0" w:type="auto"/>
          </w:tcPr>
          <w:p w14:paraId="1BD4E8AC" w14:textId="77777777" w:rsidR="00AD7D88" w:rsidRPr="005871E7" w:rsidRDefault="00AD7D88" w:rsidP="002C3392">
            <w:pPr>
              <w:pStyle w:val="Compact"/>
              <w:spacing w:line="360" w:lineRule="auto"/>
              <w:jc w:val="both"/>
              <w:rPr>
                <w:rFonts w:ascii="Garamond" w:hAnsi="Garamond"/>
              </w:rPr>
            </w:pPr>
            <w:proofErr w:type="spellStart"/>
            <w:r w:rsidRPr="005871E7">
              <w:rPr>
                <w:rFonts w:ascii="Garamond" w:hAnsi="Garamond"/>
              </w:rPr>
              <w:t>Alkaleri</w:t>
            </w:r>
            <w:proofErr w:type="spellEnd"/>
          </w:p>
        </w:tc>
        <w:tc>
          <w:tcPr>
            <w:tcW w:w="0" w:type="auto"/>
          </w:tcPr>
          <w:p w14:paraId="51EED404"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35.7</w:t>
            </w:r>
          </w:p>
        </w:tc>
        <w:tc>
          <w:tcPr>
            <w:tcW w:w="0" w:type="auto"/>
          </w:tcPr>
          <w:p w14:paraId="52488CD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499</w:t>
            </w:r>
          </w:p>
        </w:tc>
      </w:tr>
      <w:tr w:rsidR="00AD7D88" w:rsidRPr="005871E7" w14:paraId="5512BE7E" w14:textId="77777777" w:rsidTr="002C3392">
        <w:tc>
          <w:tcPr>
            <w:tcW w:w="0" w:type="auto"/>
          </w:tcPr>
          <w:p w14:paraId="77F8B645" w14:textId="77777777" w:rsidR="00AD7D88" w:rsidRPr="005871E7" w:rsidRDefault="00AD7D88" w:rsidP="002C3392">
            <w:pPr>
              <w:pStyle w:val="Compact"/>
              <w:spacing w:line="360" w:lineRule="auto"/>
              <w:jc w:val="both"/>
              <w:rPr>
                <w:rFonts w:ascii="Garamond" w:hAnsi="Garamond"/>
              </w:rPr>
            </w:pPr>
            <w:proofErr w:type="spellStart"/>
            <w:r w:rsidRPr="005871E7">
              <w:rPr>
                <w:rFonts w:ascii="Garamond" w:hAnsi="Garamond"/>
              </w:rPr>
              <w:t>Warji</w:t>
            </w:r>
            <w:proofErr w:type="spellEnd"/>
          </w:p>
        </w:tc>
        <w:tc>
          <w:tcPr>
            <w:tcW w:w="0" w:type="auto"/>
          </w:tcPr>
          <w:p w14:paraId="1B75627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31.7</w:t>
            </w:r>
          </w:p>
        </w:tc>
        <w:tc>
          <w:tcPr>
            <w:tcW w:w="0" w:type="auto"/>
          </w:tcPr>
          <w:p w14:paraId="014F2A34"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325</w:t>
            </w:r>
          </w:p>
        </w:tc>
      </w:tr>
      <w:tr w:rsidR="00AD7D88" w:rsidRPr="005871E7" w14:paraId="6D296E7C" w14:textId="77777777" w:rsidTr="002C3392">
        <w:tc>
          <w:tcPr>
            <w:tcW w:w="0" w:type="auto"/>
          </w:tcPr>
          <w:p w14:paraId="4B22CB0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DAMBAM</w:t>
            </w:r>
          </w:p>
        </w:tc>
        <w:tc>
          <w:tcPr>
            <w:tcW w:w="0" w:type="auto"/>
          </w:tcPr>
          <w:p w14:paraId="10D4B0E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31.7</w:t>
            </w:r>
          </w:p>
        </w:tc>
        <w:tc>
          <w:tcPr>
            <w:tcW w:w="0" w:type="auto"/>
          </w:tcPr>
          <w:p w14:paraId="4A926494"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398</w:t>
            </w:r>
          </w:p>
        </w:tc>
      </w:tr>
      <w:tr w:rsidR="00AD7D88" w:rsidRPr="005871E7" w14:paraId="0EB44A03" w14:textId="77777777" w:rsidTr="002C3392">
        <w:tc>
          <w:tcPr>
            <w:tcW w:w="0" w:type="auto"/>
          </w:tcPr>
          <w:p w14:paraId="69807A63"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Tafawa-Balewa</w:t>
            </w:r>
          </w:p>
        </w:tc>
        <w:tc>
          <w:tcPr>
            <w:tcW w:w="0" w:type="auto"/>
          </w:tcPr>
          <w:p w14:paraId="00E4252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31.5</w:t>
            </w:r>
          </w:p>
        </w:tc>
        <w:tc>
          <w:tcPr>
            <w:tcW w:w="0" w:type="auto"/>
          </w:tcPr>
          <w:p w14:paraId="4B72D07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400</w:t>
            </w:r>
          </w:p>
        </w:tc>
      </w:tr>
      <w:tr w:rsidR="00AD7D88" w:rsidRPr="005871E7" w14:paraId="0272CD4B" w14:textId="77777777" w:rsidTr="002C3392">
        <w:tc>
          <w:tcPr>
            <w:tcW w:w="0" w:type="auto"/>
          </w:tcPr>
          <w:p w14:paraId="35881FCB" w14:textId="77777777" w:rsidR="00AD7D88" w:rsidRPr="005871E7" w:rsidRDefault="00AD7D88" w:rsidP="002C3392">
            <w:pPr>
              <w:pStyle w:val="Compact"/>
              <w:spacing w:line="360" w:lineRule="auto"/>
              <w:jc w:val="both"/>
              <w:rPr>
                <w:rFonts w:ascii="Garamond" w:hAnsi="Garamond"/>
              </w:rPr>
            </w:pPr>
            <w:proofErr w:type="spellStart"/>
            <w:r w:rsidRPr="005871E7">
              <w:rPr>
                <w:rFonts w:ascii="Garamond" w:hAnsi="Garamond"/>
              </w:rPr>
              <w:t>Ningi</w:t>
            </w:r>
            <w:proofErr w:type="spellEnd"/>
          </w:p>
        </w:tc>
        <w:tc>
          <w:tcPr>
            <w:tcW w:w="0" w:type="auto"/>
          </w:tcPr>
          <w:p w14:paraId="42388C4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26.8</w:t>
            </w:r>
          </w:p>
        </w:tc>
        <w:tc>
          <w:tcPr>
            <w:tcW w:w="0" w:type="auto"/>
          </w:tcPr>
          <w:p w14:paraId="0E698DD5"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400</w:t>
            </w:r>
          </w:p>
        </w:tc>
      </w:tr>
      <w:tr w:rsidR="00AD7D88" w:rsidRPr="005871E7" w14:paraId="22AB22C9" w14:textId="77777777" w:rsidTr="002C3392">
        <w:tc>
          <w:tcPr>
            <w:tcW w:w="0" w:type="auto"/>
          </w:tcPr>
          <w:p w14:paraId="093A7078" w14:textId="77777777" w:rsidR="00AD7D88" w:rsidRPr="005871E7" w:rsidRDefault="00AD7D88" w:rsidP="002C3392">
            <w:pPr>
              <w:pStyle w:val="Compact"/>
              <w:spacing w:line="360" w:lineRule="auto"/>
              <w:jc w:val="both"/>
              <w:rPr>
                <w:rFonts w:ascii="Garamond" w:hAnsi="Garamond"/>
              </w:rPr>
            </w:pPr>
            <w:proofErr w:type="spellStart"/>
            <w:r w:rsidRPr="005871E7">
              <w:rPr>
                <w:rFonts w:ascii="Garamond" w:hAnsi="Garamond"/>
              </w:rPr>
              <w:t>Gamawa</w:t>
            </w:r>
            <w:proofErr w:type="spellEnd"/>
          </w:p>
        </w:tc>
        <w:tc>
          <w:tcPr>
            <w:tcW w:w="0" w:type="auto"/>
          </w:tcPr>
          <w:p w14:paraId="21F9643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23.6</w:t>
            </w:r>
          </w:p>
        </w:tc>
        <w:tc>
          <w:tcPr>
            <w:tcW w:w="0" w:type="auto"/>
          </w:tcPr>
          <w:p w14:paraId="7787754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449</w:t>
            </w:r>
          </w:p>
        </w:tc>
      </w:tr>
      <w:tr w:rsidR="00AD7D88" w:rsidRPr="005871E7" w14:paraId="4F6D7299" w14:textId="77777777" w:rsidTr="002C3392">
        <w:tc>
          <w:tcPr>
            <w:tcW w:w="0" w:type="auto"/>
          </w:tcPr>
          <w:p w14:paraId="1A62502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Zaki</w:t>
            </w:r>
          </w:p>
        </w:tc>
        <w:tc>
          <w:tcPr>
            <w:tcW w:w="0" w:type="auto"/>
          </w:tcPr>
          <w:p w14:paraId="48AA1840"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21.3</w:t>
            </w:r>
          </w:p>
        </w:tc>
        <w:tc>
          <w:tcPr>
            <w:tcW w:w="0" w:type="auto"/>
          </w:tcPr>
          <w:p w14:paraId="4071238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450</w:t>
            </w:r>
          </w:p>
        </w:tc>
      </w:tr>
      <w:tr w:rsidR="00AD7D88" w:rsidRPr="005871E7" w14:paraId="775E8C4B" w14:textId="77777777" w:rsidTr="002C3392">
        <w:tc>
          <w:tcPr>
            <w:tcW w:w="0" w:type="auto"/>
          </w:tcPr>
          <w:p w14:paraId="34D22F06"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Shira</w:t>
            </w:r>
          </w:p>
        </w:tc>
        <w:tc>
          <w:tcPr>
            <w:tcW w:w="0" w:type="auto"/>
          </w:tcPr>
          <w:p w14:paraId="7E62D20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21.3</w:t>
            </w:r>
          </w:p>
        </w:tc>
        <w:tc>
          <w:tcPr>
            <w:tcW w:w="0" w:type="auto"/>
          </w:tcPr>
          <w:p w14:paraId="3020DA2C"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474</w:t>
            </w:r>
          </w:p>
        </w:tc>
      </w:tr>
      <w:tr w:rsidR="00AD7D88" w:rsidRPr="005871E7" w14:paraId="3319D498" w14:textId="77777777" w:rsidTr="002C3392">
        <w:tc>
          <w:tcPr>
            <w:tcW w:w="0" w:type="auto"/>
          </w:tcPr>
          <w:p w14:paraId="01390FF0" w14:textId="77777777" w:rsidR="00AD7D88" w:rsidRPr="005871E7" w:rsidRDefault="00AD7D88" w:rsidP="002C3392">
            <w:pPr>
              <w:pStyle w:val="Compact"/>
              <w:spacing w:line="360" w:lineRule="auto"/>
              <w:jc w:val="both"/>
              <w:rPr>
                <w:rFonts w:ascii="Garamond" w:hAnsi="Garamond"/>
              </w:rPr>
            </w:pPr>
            <w:proofErr w:type="spellStart"/>
            <w:r w:rsidRPr="005871E7">
              <w:rPr>
                <w:rFonts w:ascii="Garamond" w:hAnsi="Garamond"/>
              </w:rPr>
              <w:t>Jama’are</w:t>
            </w:r>
            <w:proofErr w:type="spellEnd"/>
          </w:p>
        </w:tc>
        <w:tc>
          <w:tcPr>
            <w:tcW w:w="0" w:type="auto"/>
          </w:tcPr>
          <w:p w14:paraId="052512E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17.2</w:t>
            </w:r>
          </w:p>
        </w:tc>
        <w:tc>
          <w:tcPr>
            <w:tcW w:w="0" w:type="auto"/>
          </w:tcPr>
          <w:p w14:paraId="7A51E70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325</w:t>
            </w:r>
          </w:p>
        </w:tc>
      </w:tr>
      <w:tr w:rsidR="00AD7D88" w:rsidRPr="005871E7" w14:paraId="4F8E420D" w14:textId="77777777" w:rsidTr="002C3392">
        <w:tc>
          <w:tcPr>
            <w:tcW w:w="0" w:type="auto"/>
          </w:tcPr>
          <w:p w14:paraId="00FD90FB" w14:textId="77777777" w:rsidR="00AD7D88" w:rsidRPr="005871E7" w:rsidRDefault="00AD7D88" w:rsidP="002C3392">
            <w:pPr>
              <w:pStyle w:val="Compact"/>
              <w:spacing w:line="360" w:lineRule="auto"/>
              <w:jc w:val="both"/>
              <w:rPr>
                <w:rFonts w:ascii="Garamond" w:hAnsi="Garamond"/>
              </w:rPr>
            </w:pPr>
            <w:proofErr w:type="spellStart"/>
            <w:r w:rsidRPr="005871E7">
              <w:rPr>
                <w:rFonts w:ascii="Garamond" w:hAnsi="Garamond"/>
              </w:rPr>
              <w:t>Katagum</w:t>
            </w:r>
            <w:proofErr w:type="spellEnd"/>
          </w:p>
        </w:tc>
        <w:tc>
          <w:tcPr>
            <w:tcW w:w="0" w:type="auto"/>
          </w:tcPr>
          <w:p w14:paraId="1AAFA4C8"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11.4</w:t>
            </w:r>
          </w:p>
        </w:tc>
        <w:tc>
          <w:tcPr>
            <w:tcW w:w="0" w:type="auto"/>
          </w:tcPr>
          <w:p w14:paraId="5F515DF4"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501</w:t>
            </w:r>
          </w:p>
        </w:tc>
      </w:tr>
      <w:tr w:rsidR="00AD7D88" w:rsidRPr="005871E7" w14:paraId="46904C49" w14:textId="77777777" w:rsidTr="002C3392">
        <w:tc>
          <w:tcPr>
            <w:tcW w:w="0" w:type="auto"/>
          </w:tcPr>
          <w:p w14:paraId="1F88DE2B" w14:textId="77777777" w:rsidR="00AD7D88" w:rsidRPr="005871E7" w:rsidRDefault="00AD7D88" w:rsidP="002C3392">
            <w:pPr>
              <w:pStyle w:val="Compact"/>
              <w:spacing w:line="360" w:lineRule="auto"/>
              <w:jc w:val="both"/>
              <w:rPr>
                <w:rFonts w:ascii="Garamond" w:hAnsi="Garamond"/>
              </w:rPr>
            </w:pPr>
            <w:proofErr w:type="spellStart"/>
            <w:r w:rsidRPr="005871E7">
              <w:rPr>
                <w:rFonts w:ascii="Garamond" w:hAnsi="Garamond"/>
              </w:rPr>
              <w:lastRenderedPageBreak/>
              <w:t>Darazo</w:t>
            </w:r>
            <w:proofErr w:type="spellEnd"/>
          </w:p>
        </w:tc>
        <w:tc>
          <w:tcPr>
            <w:tcW w:w="0" w:type="auto"/>
          </w:tcPr>
          <w:p w14:paraId="60BFCB3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56.9</w:t>
            </w:r>
          </w:p>
        </w:tc>
        <w:tc>
          <w:tcPr>
            <w:tcW w:w="0" w:type="auto"/>
          </w:tcPr>
          <w:p w14:paraId="38E50F7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418</w:t>
            </w:r>
          </w:p>
        </w:tc>
      </w:tr>
      <w:tr w:rsidR="00AD7D88" w:rsidRPr="005871E7" w14:paraId="59B8ADFF" w14:textId="77777777" w:rsidTr="002C3392">
        <w:tc>
          <w:tcPr>
            <w:tcW w:w="0" w:type="auto"/>
          </w:tcPr>
          <w:p w14:paraId="28CB5B7F" w14:textId="77777777" w:rsidR="00AD7D88" w:rsidRPr="005871E7" w:rsidRDefault="00AD7D88" w:rsidP="002C3392">
            <w:pPr>
              <w:pStyle w:val="Compact"/>
              <w:spacing w:line="360" w:lineRule="auto"/>
              <w:jc w:val="both"/>
              <w:rPr>
                <w:rFonts w:ascii="Garamond" w:hAnsi="Garamond"/>
              </w:rPr>
            </w:pPr>
            <w:proofErr w:type="spellStart"/>
            <w:r w:rsidRPr="005871E7">
              <w:rPr>
                <w:rFonts w:ascii="Garamond" w:hAnsi="Garamond"/>
              </w:rPr>
              <w:t>Bogoro</w:t>
            </w:r>
            <w:proofErr w:type="spellEnd"/>
          </w:p>
        </w:tc>
        <w:tc>
          <w:tcPr>
            <w:tcW w:w="0" w:type="auto"/>
          </w:tcPr>
          <w:p w14:paraId="1C81DBD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41.8</w:t>
            </w:r>
          </w:p>
        </w:tc>
        <w:tc>
          <w:tcPr>
            <w:tcW w:w="0" w:type="auto"/>
          </w:tcPr>
          <w:p w14:paraId="3CDBDCF6"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325</w:t>
            </w:r>
          </w:p>
        </w:tc>
      </w:tr>
      <w:tr w:rsidR="00AD7D88" w:rsidRPr="005871E7" w14:paraId="5D55051A" w14:textId="77777777" w:rsidTr="002C3392">
        <w:tc>
          <w:tcPr>
            <w:tcW w:w="0" w:type="auto"/>
          </w:tcPr>
          <w:p w14:paraId="1CF7E74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Bauchi</w:t>
            </w:r>
          </w:p>
        </w:tc>
        <w:tc>
          <w:tcPr>
            <w:tcW w:w="0" w:type="auto"/>
          </w:tcPr>
          <w:p w14:paraId="6D7162B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41.4</w:t>
            </w:r>
          </w:p>
        </w:tc>
        <w:tc>
          <w:tcPr>
            <w:tcW w:w="0" w:type="auto"/>
          </w:tcPr>
          <w:p w14:paraId="31E5F0D6"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502</w:t>
            </w:r>
          </w:p>
        </w:tc>
      </w:tr>
      <w:tr w:rsidR="00AD7D88" w:rsidRPr="005871E7" w14:paraId="018C63A6" w14:textId="77777777" w:rsidTr="002C3392">
        <w:tc>
          <w:tcPr>
            <w:tcW w:w="0" w:type="auto"/>
          </w:tcPr>
          <w:p w14:paraId="21B19B9A" w14:textId="77777777" w:rsidR="00AD7D88" w:rsidRPr="005871E7" w:rsidRDefault="00AD7D88" w:rsidP="002C3392">
            <w:pPr>
              <w:pStyle w:val="Compact"/>
              <w:spacing w:line="360" w:lineRule="auto"/>
              <w:jc w:val="both"/>
              <w:rPr>
                <w:rFonts w:ascii="Garamond" w:hAnsi="Garamond"/>
              </w:rPr>
            </w:pPr>
            <w:proofErr w:type="spellStart"/>
            <w:r w:rsidRPr="005871E7">
              <w:rPr>
                <w:rFonts w:ascii="Garamond" w:hAnsi="Garamond"/>
              </w:rPr>
              <w:t>Misau</w:t>
            </w:r>
            <w:proofErr w:type="spellEnd"/>
          </w:p>
        </w:tc>
        <w:tc>
          <w:tcPr>
            <w:tcW w:w="0" w:type="auto"/>
          </w:tcPr>
          <w:p w14:paraId="35AB1EA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41.3</w:t>
            </w:r>
          </w:p>
        </w:tc>
        <w:tc>
          <w:tcPr>
            <w:tcW w:w="0" w:type="auto"/>
          </w:tcPr>
          <w:p w14:paraId="00C430A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400</w:t>
            </w:r>
          </w:p>
        </w:tc>
      </w:tr>
      <w:tr w:rsidR="00AD7D88" w:rsidRPr="005871E7" w14:paraId="208CEBAE" w14:textId="77777777" w:rsidTr="002C3392">
        <w:tc>
          <w:tcPr>
            <w:tcW w:w="0" w:type="auto"/>
          </w:tcPr>
          <w:p w14:paraId="01D78205" w14:textId="77777777" w:rsidR="00AD7D88" w:rsidRPr="005871E7" w:rsidRDefault="00AD7D88" w:rsidP="002C3392">
            <w:pPr>
              <w:pStyle w:val="Compact"/>
              <w:spacing w:line="360" w:lineRule="auto"/>
              <w:jc w:val="both"/>
              <w:rPr>
                <w:rFonts w:ascii="Garamond" w:hAnsi="Garamond"/>
              </w:rPr>
            </w:pPr>
            <w:proofErr w:type="spellStart"/>
            <w:r w:rsidRPr="005871E7">
              <w:rPr>
                <w:rFonts w:ascii="Garamond" w:hAnsi="Garamond"/>
              </w:rPr>
              <w:t>Ganjuwa</w:t>
            </w:r>
            <w:proofErr w:type="spellEnd"/>
          </w:p>
        </w:tc>
        <w:tc>
          <w:tcPr>
            <w:tcW w:w="0" w:type="auto"/>
          </w:tcPr>
          <w:p w14:paraId="43A3A6F5"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39.8</w:t>
            </w:r>
          </w:p>
        </w:tc>
        <w:tc>
          <w:tcPr>
            <w:tcW w:w="0" w:type="auto"/>
          </w:tcPr>
          <w:p w14:paraId="7848EBD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400</w:t>
            </w:r>
          </w:p>
        </w:tc>
      </w:tr>
      <w:tr w:rsidR="00AD7D88" w:rsidRPr="005871E7" w14:paraId="681C38E2" w14:textId="77777777" w:rsidTr="002C3392">
        <w:tc>
          <w:tcPr>
            <w:tcW w:w="0" w:type="auto"/>
          </w:tcPr>
          <w:p w14:paraId="593A31D3" w14:textId="77777777" w:rsidR="00AD7D88" w:rsidRPr="005871E7" w:rsidRDefault="00AD7D88" w:rsidP="002C3392">
            <w:pPr>
              <w:pStyle w:val="Compact"/>
              <w:spacing w:line="360" w:lineRule="auto"/>
              <w:jc w:val="both"/>
              <w:rPr>
                <w:rFonts w:ascii="Garamond" w:hAnsi="Garamond"/>
              </w:rPr>
            </w:pPr>
            <w:proofErr w:type="spellStart"/>
            <w:r w:rsidRPr="005871E7">
              <w:rPr>
                <w:rFonts w:ascii="Garamond" w:hAnsi="Garamond"/>
              </w:rPr>
              <w:t>Kirfi</w:t>
            </w:r>
            <w:proofErr w:type="spellEnd"/>
          </w:p>
        </w:tc>
        <w:tc>
          <w:tcPr>
            <w:tcW w:w="0" w:type="auto"/>
          </w:tcPr>
          <w:p w14:paraId="28964DA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39.3</w:t>
            </w:r>
          </w:p>
        </w:tc>
        <w:tc>
          <w:tcPr>
            <w:tcW w:w="0" w:type="auto"/>
          </w:tcPr>
          <w:p w14:paraId="292E165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323</w:t>
            </w:r>
          </w:p>
        </w:tc>
      </w:tr>
      <w:tr w:rsidR="00AD7D88" w:rsidRPr="005871E7" w14:paraId="25420263" w14:textId="77777777" w:rsidTr="002C3392">
        <w:tc>
          <w:tcPr>
            <w:tcW w:w="0" w:type="auto"/>
          </w:tcPr>
          <w:p w14:paraId="1DBF2D2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Toro</w:t>
            </w:r>
          </w:p>
        </w:tc>
        <w:tc>
          <w:tcPr>
            <w:tcW w:w="0" w:type="auto"/>
          </w:tcPr>
          <w:p w14:paraId="4A346FC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38.1</w:t>
            </w:r>
          </w:p>
        </w:tc>
        <w:tc>
          <w:tcPr>
            <w:tcW w:w="0" w:type="auto"/>
          </w:tcPr>
          <w:p w14:paraId="58B14F74"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425</w:t>
            </w:r>
          </w:p>
        </w:tc>
      </w:tr>
      <w:tr w:rsidR="00AD7D88" w:rsidRPr="005871E7" w14:paraId="2BE94B30" w14:textId="77777777" w:rsidTr="002C3392">
        <w:tc>
          <w:tcPr>
            <w:tcW w:w="0" w:type="auto"/>
          </w:tcPr>
          <w:p w14:paraId="7062635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Itas/Gadau</w:t>
            </w:r>
          </w:p>
        </w:tc>
        <w:tc>
          <w:tcPr>
            <w:tcW w:w="0" w:type="auto"/>
          </w:tcPr>
          <w:p w14:paraId="098AA0A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37.3</w:t>
            </w:r>
          </w:p>
        </w:tc>
        <w:tc>
          <w:tcPr>
            <w:tcW w:w="0" w:type="auto"/>
          </w:tcPr>
          <w:p w14:paraId="26412305"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400</w:t>
            </w:r>
          </w:p>
        </w:tc>
      </w:tr>
      <w:tr w:rsidR="00AD7D88" w:rsidRPr="005871E7" w14:paraId="1E6555EB" w14:textId="77777777" w:rsidTr="002C3392">
        <w:tc>
          <w:tcPr>
            <w:tcW w:w="0" w:type="auto"/>
          </w:tcPr>
          <w:p w14:paraId="2FF63825"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Dass</w:t>
            </w:r>
          </w:p>
        </w:tc>
        <w:tc>
          <w:tcPr>
            <w:tcW w:w="0" w:type="auto"/>
          </w:tcPr>
          <w:p w14:paraId="13D4B6C4"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36.6</w:t>
            </w:r>
          </w:p>
        </w:tc>
        <w:tc>
          <w:tcPr>
            <w:tcW w:w="0" w:type="auto"/>
          </w:tcPr>
          <w:p w14:paraId="62743014"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325</w:t>
            </w:r>
          </w:p>
        </w:tc>
      </w:tr>
      <w:tr w:rsidR="00AD7D88" w:rsidRPr="005871E7" w14:paraId="57BEB6D7" w14:textId="77777777" w:rsidTr="002C3392">
        <w:tc>
          <w:tcPr>
            <w:tcW w:w="0" w:type="auto"/>
          </w:tcPr>
          <w:p w14:paraId="309DEC5E" w14:textId="77777777" w:rsidR="00AD7D88" w:rsidRPr="005871E7" w:rsidRDefault="00AD7D88" w:rsidP="002C3392">
            <w:pPr>
              <w:pStyle w:val="Compact"/>
              <w:spacing w:line="360" w:lineRule="auto"/>
              <w:jc w:val="both"/>
              <w:rPr>
                <w:rFonts w:ascii="Garamond" w:hAnsi="Garamond"/>
              </w:rPr>
            </w:pPr>
            <w:proofErr w:type="spellStart"/>
            <w:r w:rsidRPr="005871E7">
              <w:rPr>
                <w:rFonts w:ascii="Garamond" w:hAnsi="Garamond"/>
              </w:rPr>
              <w:t>Giade</w:t>
            </w:r>
            <w:proofErr w:type="spellEnd"/>
          </w:p>
        </w:tc>
        <w:tc>
          <w:tcPr>
            <w:tcW w:w="0" w:type="auto"/>
          </w:tcPr>
          <w:p w14:paraId="35819D6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35.7</w:t>
            </w:r>
          </w:p>
        </w:tc>
        <w:tc>
          <w:tcPr>
            <w:tcW w:w="0" w:type="auto"/>
          </w:tcPr>
          <w:p w14:paraId="487F53C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325</w:t>
            </w:r>
          </w:p>
        </w:tc>
      </w:tr>
    </w:tbl>
    <w:p w14:paraId="4A792800" w14:textId="77777777" w:rsidR="00AD7D88" w:rsidRPr="005871E7" w:rsidRDefault="00AD7D88" w:rsidP="00AD7D88">
      <w:pPr>
        <w:pStyle w:val="BodyText"/>
        <w:spacing w:line="360" w:lineRule="auto"/>
        <w:jc w:val="both"/>
        <w:rPr>
          <w:rFonts w:ascii="Garamond" w:hAnsi="Garamond"/>
        </w:rPr>
      </w:pPr>
      <w:r w:rsidRPr="005871E7">
        <w:rPr>
          <w:rFonts w:ascii="Garamond" w:hAnsi="Garamond"/>
        </w:rPr>
        <w:t xml:space="preserve">The findings demonstrate marked variation in deworming coverage across LGAs. Coverage ranged from a high of 56.9% in </w:t>
      </w:r>
      <w:proofErr w:type="spellStart"/>
      <w:r w:rsidRPr="005871E7">
        <w:rPr>
          <w:rFonts w:ascii="Garamond" w:hAnsi="Garamond"/>
        </w:rPr>
        <w:t>Darazo</w:t>
      </w:r>
      <w:proofErr w:type="spellEnd"/>
      <w:r w:rsidRPr="005871E7">
        <w:rPr>
          <w:rFonts w:ascii="Garamond" w:hAnsi="Garamond"/>
        </w:rPr>
        <w:t xml:space="preserve"> to a low of 11.4% in </w:t>
      </w:r>
      <w:proofErr w:type="spellStart"/>
      <w:r w:rsidRPr="005871E7">
        <w:rPr>
          <w:rFonts w:ascii="Garamond" w:hAnsi="Garamond"/>
        </w:rPr>
        <w:t>Katagum</w:t>
      </w:r>
      <w:proofErr w:type="spellEnd"/>
      <w:r w:rsidRPr="005871E7">
        <w:rPr>
          <w:rFonts w:ascii="Garamond" w:hAnsi="Garamond"/>
        </w:rPr>
        <w:t xml:space="preserve">. Several LGAs—including </w:t>
      </w:r>
      <w:proofErr w:type="spellStart"/>
      <w:r w:rsidRPr="005871E7">
        <w:rPr>
          <w:rFonts w:ascii="Garamond" w:hAnsi="Garamond"/>
        </w:rPr>
        <w:t>Alkaleri</w:t>
      </w:r>
      <w:proofErr w:type="spellEnd"/>
      <w:r w:rsidRPr="005871E7">
        <w:rPr>
          <w:rFonts w:ascii="Garamond" w:hAnsi="Garamond"/>
        </w:rPr>
        <w:t xml:space="preserve">, </w:t>
      </w:r>
      <w:proofErr w:type="spellStart"/>
      <w:r w:rsidRPr="005871E7">
        <w:rPr>
          <w:rFonts w:ascii="Garamond" w:hAnsi="Garamond"/>
        </w:rPr>
        <w:t>Warji</w:t>
      </w:r>
      <w:proofErr w:type="spellEnd"/>
      <w:r w:rsidRPr="005871E7">
        <w:rPr>
          <w:rFonts w:ascii="Garamond" w:hAnsi="Garamond"/>
        </w:rPr>
        <w:t xml:space="preserve">, DAMBAM, and Tafawa-Balewa—reported deworming coverage rates exceeding 30%, while other LGAs such as </w:t>
      </w:r>
      <w:proofErr w:type="spellStart"/>
      <w:r w:rsidRPr="005871E7">
        <w:rPr>
          <w:rFonts w:ascii="Garamond" w:hAnsi="Garamond"/>
        </w:rPr>
        <w:t>Jama’are</w:t>
      </w:r>
      <w:proofErr w:type="spellEnd"/>
      <w:r w:rsidRPr="005871E7">
        <w:rPr>
          <w:rFonts w:ascii="Garamond" w:hAnsi="Garamond"/>
        </w:rPr>
        <w:t xml:space="preserve"> and </w:t>
      </w:r>
      <w:proofErr w:type="spellStart"/>
      <w:r w:rsidRPr="005871E7">
        <w:rPr>
          <w:rFonts w:ascii="Garamond" w:hAnsi="Garamond"/>
        </w:rPr>
        <w:t>Katagum</w:t>
      </w:r>
      <w:proofErr w:type="spellEnd"/>
      <w:r w:rsidRPr="005871E7">
        <w:rPr>
          <w:rFonts w:ascii="Garamond" w:hAnsi="Garamond"/>
        </w:rPr>
        <w:t xml:space="preserve"> had coverage rates below 20%.</w:t>
      </w:r>
    </w:p>
    <w:p w14:paraId="2500764C" w14:textId="77777777" w:rsidR="00AD7D88" w:rsidRPr="005871E7" w:rsidRDefault="00AD7D88" w:rsidP="00AD7D88">
      <w:pPr>
        <w:pStyle w:val="BodyText"/>
        <w:spacing w:line="360" w:lineRule="auto"/>
        <w:jc w:val="both"/>
        <w:rPr>
          <w:rFonts w:ascii="Garamond" w:hAnsi="Garamond"/>
        </w:rPr>
      </w:pPr>
      <w:proofErr w:type="gramStart"/>
      <w:r w:rsidRPr="005871E7">
        <w:rPr>
          <w:rFonts w:ascii="Garamond" w:hAnsi="Garamond"/>
        </w:rPr>
        <w:t>A Pearson’s</w:t>
      </w:r>
      <w:proofErr w:type="gramEnd"/>
      <w:r w:rsidRPr="005871E7">
        <w:rPr>
          <w:rFonts w:ascii="Garamond" w:hAnsi="Garamond"/>
        </w:rPr>
        <w:t xml:space="preserve"> Chi-squared test indicated that these differences in coverage across LGAs are statistically significant </w:t>
      </w:r>
      <m:oMath>
        <m:r>
          <m:rPr>
            <m:sty m:val="p"/>
          </m:rPr>
          <w:rPr>
            <w:rFonts w:ascii="Cambria Math" w:hAnsi="Cambria Math"/>
          </w:rPr>
          <m:t>(</m:t>
        </m:r>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402.38</m:t>
        </m:r>
        <m:r>
          <m:rPr>
            <m:sty m:val="p"/>
          </m:rPr>
          <w:rPr>
            <w:rFonts w:ascii="Cambria Math" w:hAnsi="Cambria Math"/>
          </w:rPr>
          <m:t>,</m:t>
        </m:r>
        <m:r>
          <w:rPr>
            <w:rFonts w:ascii="Cambria Math" w:hAnsi="Cambria Math"/>
          </w:rPr>
          <m:t> df</m:t>
        </m:r>
        <m:r>
          <m:rPr>
            <m:sty m:val="p"/>
          </m:rPr>
          <w:rPr>
            <w:rFonts w:ascii="Cambria Math" w:hAnsi="Cambria Math"/>
          </w:rPr>
          <m:t>=</m:t>
        </m:r>
        <m:r>
          <w:rPr>
            <w:rFonts w:ascii="Cambria Math" w:hAnsi="Cambria Math"/>
          </w:rPr>
          <m:t>19</m:t>
        </m:r>
        <m:r>
          <m:rPr>
            <m:sty m:val="p"/>
          </m:rPr>
          <w:rPr>
            <w:rFonts w:ascii="Cambria Math" w:hAnsi="Cambria Math"/>
          </w:rPr>
          <m:t>,</m:t>
        </m:r>
        <m:r>
          <w:rPr>
            <w:rFonts w:ascii="Cambria Math" w:hAnsi="Cambria Math"/>
          </w:rPr>
          <m:t> p</m:t>
        </m:r>
        <m:r>
          <m:rPr>
            <m:sty m:val="p"/>
          </m:rPr>
          <w:rPr>
            <w:rFonts w:ascii="Cambria Math" w:hAnsi="Cambria Math"/>
          </w:rPr>
          <m:t>&lt;</m:t>
        </m:r>
        <m:r>
          <w:rPr>
            <w:rFonts w:ascii="Cambria Math" w:hAnsi="Cambria Math"/>
          </w:rPr>
          <m:t>2.2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16</m:t>
            </m:r>
          </m:sup>
        </m:sSup>
        <m:r>
          <m:rPr>
            <m:sty m:val="p"/>
          </m:rPr>
          <w:rPr>
            <w:rFonts w:ascii="Cambria Math" w:hAnsi="Cambria Math"/>
          </w:rPr>
          <m:t>)</m:t>
        </m:r>
      </m:oMath>
      <w:r w:rsidRPr="005871E7">
        <w:rPr>
          <w:rFonts w:ascii="Garamond" w:hAnsi="Garamond"/>
        </w:rPr>
        <w:t>. The Cramér’s V statistic was 0.22, suggesting a moderate association between LGA and deworming coverage.</w:t>
      </w:r>
    </w:p>
    <w:p w14:paraId="1DC70379" w14:textId="77777777" w:rsidR="00AD7D88" w:rsidRPr="005871E7" w:rsidRDefault="00AD7D88" w:rsidP="00AD7D88">
      <w:pPr>
        <w:pStyle w:val="Heading4"/>
        <w:spacing w:line="360" w:lineRule="auto"/>
        <w:jc w:val="both"/>
        <w:rPr>
          <w:rFonts w:ascii="Garamond" w:hAnsi="Garamond"/>
        </w:rPr>
      </w:pPr>
      <w:bookmarkStart w:id="9" w:name="X89c7da8734d2c6373907933feacdb9d1c505aef"/>
      <w:bookmarkEnd w:id="8"/>
      <w:r w:rsidRPr="005871E7">
        <w:rPr>
          <w:rFonts w:ascii="Garamond" w:hAnsi="Garamond"/>
        </w:rPr>
        <w:t>b) Coverage of Routine Immunization (Children 12–23 Months)</w:t>
      </w:r>
    </w:p>
    <w:p w14:paraId="76DD05D5"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 xml:space="preserve">Routine immunization coverage during the last MNCHW among children aged 12–23 months was very low, with most children either lacking valid records or receiving only a limited combination of vaccines during the campaign. For example, the most frequently reported receipt was for the 17th dose (measles 2 or yellow fever), but overall, </w:t>
      </w:r>
      <w:r w:rsidRPr="005871E7">
        <w:rPr>
          <w:rFonts w:ascii="Garamond" w:hAnsi="Garamond"/>
          <w:b/>
          <w:bCs/>
        </w:rPr>
        <w:t>less than 15%</w:t>
      </w:r>
      <w:r w:rsidRPr="005871E7">
        <w:rPr>
          <w:rFonts w:ascii="Garamond" w:hAnsi="Garamond"/>
        </w:rPr>
        <w:t xml:space="preserve"> of eligible children had a record of receiving any routine immunization during the last MNCHW.</w:t>
      </w:r>
    </w:p>
    <w:p w14:paraId="1835A428" w14:textId="77777777" w:rsidR="00AD7D88" w:rsidRPr="005871E7" w:rsidRDefault="00AD7D88" w:rsidP="00AD7D88">
      <w:pPr>
        <w:pStyle w:val="Heading4"/>
        <w:spacing w:line="360" w:lineRule="auto"/>
        <w:jc w:val="both"/>
        <w:rPr>
          <w:rFonts w:ascii="Garamond" w:hAnsi="Garamond"/>
        </w:rPr>
      </w:pPr>
      <w:bookmarkStart w:id="10" w:name="c-coverage-of-muac-screening"/>
      <w:bookmarkEnd w:id="9"/>
      <w:r w:rsidRPr="005871E7">
        <w:rPr>
          <w:rFonts w:ascii="Garamond" w:hAnsi="Garamond"/>
        </w:rPr>
        <w:t>c) Coverage of MUAC Screening</w:t>
      </w:r>
    </w:p>
    <w:p w14:paraId="5CE75C09"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 xml:space="preserve">Coverage for MUAC (Mid-Upper Arm Circumference) screening during the last MNCHW was </w:t>
      </w:r>
      <w:r w:rsidRPr="005871E7">
        <w:rPr>
          <w:rFonts w:ascii="Garamond" w:hAnsi="Garamond"/>
          <w:b/>
          <w:bCs/>
        </w:rPr>
        <w:t>23.0%</w:t>
      </w:r>
      <w:r w:rsidRPr="005871E7">
        <w:rPr>
          <w:rFonts w:ascii="Garamond" w:hAnsi="Garamond"/>
        </w:rPr>
        <w:t xml:space="preserve"> among children aged 6–59 months, with most screenings occurring at health facilities (15.3% </w:t>
      </w:r>
      <w:r w:rsidRPr="005871E7">
        <w:rPr>
          <w:rFonts w:ascii="Garamond" w:hAnsi="Garamond"/>
        </w:rPr>
        <w:lastRenderedPageBreak/>
        <w:t xml:space="preserve">of all children, or 66.7% of valid responses). Home and outreach screening rates were much lower. Data </w:t>
      </w:r>
      <w:proofErr w:type="gramStart"/>
      <w:r w:rsidRPr="005871E7">
        <w:rPr>
          <w:rFonts w:ascii="Garamond" w:hAnsi="Garamond"/>
        </w:rPr>
        <w:t>were</w:t>
      </w:r>
      <w:proofErr w:type="gramEnd"/>
      <w:r w:rsidRPr="005871E7">
        <w:rPr>
          <w:rFonts w:ascii="Garamond" w:hAnsi="Garamond"/>
        </w:rPr>
        <w:t xml:space="preserve"> missing for approximately 77% of children.</w:t>
      </w:r>
    </w:p>
    <w:tbl>
      <w:tblPr>
        <w:tblStyle w:val="Table"/>
        <w:tblW w:w="0" w:type="auto"/>
        <w:tblLook w:val="0020" w:firstRow="1" w:lastRow="0" w:firstColumn="0" w:lastColumn="0" w:noHBand="0" w:noVBand="0"/>
      </w:tblPr>
      <w:tblGrid>
        <w:gridCol w:w="3889"/>
        <w:gridCol w:w="1189"/>
        <w:gridCol w:w="1321"/>
      </w:tblGrid>
      <w:tr w:rsidR="00AD7D88" w:rsidRPr="005871E7" w14:paraId="14469AF8"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0" w:type="auto"/>
          </w:tcPr>
          <w:p w14:paraId="32C2A66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MUAC Screening during last MNCHW</w:t>
            </w:r>
          </w:p>
        </w:tc>
        <w:tc>
          <w:tcPr>
            <w:tcW w:w="0" w:type="auto"/>
          </w:tcPr>
          <w:p w14:paraId="70759A4C"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Frequency</w:t>
            </w:r>
          </w:p>
        </w:tc>
        <w:tc>
          <w:tcPr>
            <w:tcW w:w="0" w:type="auto"/>
          </w:tcPr>
          <w:p w14:paraId="6AAD4540"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Percent (%)</w:t>
            </w:r>
          </w:p>
        </w:tc>
      </w:tr>
      <w:tr w:rsidR="00AD7D88" w:rsidRPr="005871E7" w14:paraId="1B35F2DB" w14:textId="77777777" w:rsidTr="002C3392">
        <w:tc>
          <w:tcPr>
            <w:tcW w:w="0" w:type="auto"/>
          </w:tcPr>
          <w:p w14:paraId="73B3D31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Yes (any source)</w:t>
            </w:r>
          </w:p>
        </w:tc>
        <w:tc>
          <w:tcPr>
            <w:tcW w:w="0" w:type="auto"/>
          </w:tcPr>
          <w:p w14:paraId="54B5FFA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1,623</w:t>
            </w:r>
          </w:p>
        </w:tc>
        <w:tc>
          <w:tcPr>
            <w:tcW w:w="0" w:type="auto"/>
          </w:tcPr>
          <w:p w14:paraId="651CC17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23.0</w:t>
            </w:r>
          </w:p>
        </w:tc>
      </w:tr>
      <w:tr w:rsidR="00AD7D88" w:rsidRPr="005871E7" w14:paraId="100B047F" w14:textId="77777777" w:rsidTr="002C3392">
        <w:tc>
          <w:tcPr>
            <w:tcW w:w="0" w:type="auto"/>
          </w:tcPr>
          <w:p w14:paraId="7FB2771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No/Not recorded</w:t>
            </w:r>
          </w:p>
        </w:tc>
        <w:tc>
          <w:tcPr>
            <w:tcW w:w="0" w:type="auto"/>
          </w:tcPr>
          <w:p w14:paraId="7C90EFF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5,447</w:t>
            </w:r>
          </w:p>
        </w:tc>
        <w:tc>
          <w:tcPr>
            <w:tcW w:w="0" w:type="auto"/>
          </w:tcPr>
          <w:p w14:paraId="5F530C48"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77.0</w:t>
            </w:r>
          </w:p>
        </w:tc>
      </w:tr>
    </w:tbl>
    <w:p w14:paraId="11B8238D" w14:textId="77777777" w:rsidR="00AD7D88" w:rsidRPr="005871E7" w:rsidRDefault="00AD7D88" w:rsidP="00AD7D88">
      <w:pPr>
        <w:pStyle w:val="Heading3"/>
        <w:spacing w:line="360" w:lineRule="auto"/>
        <w:jc w:val="both"/>
        <w:rPr>
          <w:rFonts w:ascii="Garamond" w:hAnsi="Garamond"/>
        </w:rPr>
      </w:pPr>
      <w:bookmarkStart w:id="11" w:name="coverage-of-muac-screening-by-lga"/>
      <w:bookmarkEnd w:id="6"/>
      <w:bookmarkEnd w:id="10"/>
      <w:r w:rsidRPr="005871E7">
        <w:rPr>
          <w:rFonts w:ascii="Garamond" w:hAnsi="Garamond"/>
        </w:rPr>
        <w:t>Coverage of MUAC Screening by LGA</w:t>
      </w:r>
    </w:p>
    <w:p w14:paraId="6038A087"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The table below presents the coverage of MUAC (Mid-Upper Arm Circumference) screening among children during the last MNCHW campaign, disaggregated by Local Government Area (LGA):</w:t>
      </w:r>
    </w:p>
    <w:tbl>
      <w:tblPr>
        <w:tblStyle w:val="Table"/>
        <w:tblW w:w="0" w:type="auto"/>
        <w:tblLook w:val="0020" w:firstRow="1" w:lastRow="0" w:firstColumn="0" w:lastColumn="0" w:noHBand="0" w:noVBand="0"/>
      </w:tblPr>
      <w:tblGrid>
        <w:gridCol w:w="1626"/>
        <w:gridCol w:w="2231"/>
        <w:gridCol w:w="554"/>
      </w:tblGrid>
      <w:tr w:rsidR="00AD7D88" w:rsidRPr="005871E7" w14:paraId="39402149"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0" w:type="auto"/>
          </w:tcPr>
          <w:p w14:paraId="77733FB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LGA</w:t>
            </w:r>
          </w:p>
        </w:tc>
        <w:tc>
          <w:tcPr>
            <w:tcW w:w="0" w:type="auto"/>
          </w:tcPr>
          <w:p w14:paraId="1B616106"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MUAC Coverage (%)</w:t>
            </w:r>
          </w:p>
        </w:tc>
        <w:tc>
          <w:tcPr>
            <w:tcW w:w="0" w:type="auto"/>
          </w:tcPr>
          <w:p w14:paraId="01D3E68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w:t>
            </w:r>
          </w:p>
        </w:tc>
      </w:tr>
      <w:tr w:rsidR="00AD7D88" w:rsidRPr="005871E7" w14:paraId="61705301" w14:textId="77777777" w:rsidTr="002C3392">
        <w:tc>
          <w:tcPr>
            <w:tcW w:w="0" w:type="auto"/>
          </w:tcPr>
          <w:p w14:paraId="6C49CF9A" w14:textId="77777777" w:rsidR="00AD7D88" w:rsidRPr="005871E7" w:rsidRDefault="00AD7D88" w:rsidP="002C3392">
            <w:pPr>
              <w:pStyle w:val="Compact"/>
              <w:spacing w:line="360" w:lineRule="auto"/>
              <w:jc w:val="both"/>
              <w:rPr>
                <w:rFonts w:ascii="Garamond" w:hAnsi="Garamond"/>
              </w:rPr>
            </w:pPr>
            <w:proofErr w:type="spellStart"/>
            <w:r w:rsidRPr="005871E7">
              <w:rPr>
                <w:rFonts w:ascii="Garamond" w:hAnsi="Garamond"/>
              </w:rPr>
              <w:t>Darazo</w:t>
            </w:r>
            <w:proofErr w:type="spellEnd"/>
          </w:p>
        </w:tc>
        <w:tc>
          <w:tcPr>
            <w:tcW w:w="0" w:type="auto"/>
          </w:tcPr>
          <w:p w14:paraId="66AE2ED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51.4</w:t>
            </w:r>
          </w:p>
        </w:tc>
        <w:tc>
          <w:tcPr>
            <w:tcW w:w="0" w:type="auto"/>
          </w:tcPr>
          <w:p w14:paraId="4348F874"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418</w:t>
            </w:r>
          </w:p>
        </w:tc>
      </w:tr>
      <w:tr w:rsidR="00AD7D88" w:rsidRPr="005871E7" w14:paraId="0D87EBD2" w14:textId="77777777" w:rsidTr="002C3392">
        <w:tc>
          <w:tcPr>
            <w:tcW w:w="0" w:type="auto"/>
          </w:tcPr>
          <w:p w14:paraId="2D2D378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Bauchi</w:t>
            </w:r>
          </w:p>
        </w:tc>
        <w:tc>
          <w:tcPr>
            <w:tcW w:w="0" w:type="auto"/>
          </w:tcPr>
          <w:p w14:paraId="3AB86B5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41.6</w:t>
            </w:r>
          </w:p>
        </w:tc>
        <w:tc>
          <w:tcPr>
            <w:tcW w:w="0" w:type="auto"/>
          </w:tcPr>
          <w:p w14:paraId="4FFBE4D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502</w:t>
            </w:r>
          </w:p>
        </w:tc>
      </w:tr>
      <w:tr w:rsidR="00AD7D88" w:rsidRPr="005871E7" w14:paraId="5716B1E8" w14:textId="77777777" w:rsidTr="002C3392">
        <w:tc>
          <w:tcPr>
            <w:tcW w:w="0" w:type="auto"/>
          </w:tcPr>
          <w:p w14:paraId="326EA298"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Toro</w:t>
            </w:r>
          </w:p>
        </w:tc>
        <w:tc>
          <w:tcPr>
            <w:tcW w:w="0" w:type="auto"/>
          </w:tcPr>
          <w:p w14:paraId="596069C0"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33.4</w:t>
            </w:r>
          </w:p>
        </w:tc>
        <w:tc>
          <w:tcPr>
            <w:tcW w:w="0" w:type="auto"/>
          </w:tcPr>
          <w:p w14:paraId="62C5BDF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425</w:t>
            </w:r>
          </w:p>
        </w:tc>
      </w:tr>
      <w:tr w:rsidR="00AD7D88" w:rsidRPr="005871E7" w14:paraId="1D4CD909" w14:textId="77777777" w:rsidTr="002C3392">
        <w:tc>
          <w:tcPr>
            <w:tcW w:w="0" w:type="auto"/>
          </w:tcPr>
          <w:p w14:paraId="1CB3FC0E" w14:textId="77777777" w:rsidR="00AD7D88" w:rsidRPr="005871E7" w:rsidRDefault="00AD7D88" w:rsidP="002C3392">
            <w:pPr>
              <w:pStyle w:val="Compact"/>
              <w:spacing w:line="360" w:lineRule="auto"/>
              <w:jc w:val="both"/>
              <w:rPr>
                <w:rFonts w:ascii="Garamond" w:hAnsi="Garamond"/>
              </w:rPr>
            </w:pPr>
            <w:proofErr w:type="spellStart"/>
            <w:r w:rsidRPr="005871E7">
              <w:rPr>
                <w:rFonts w:ascii="Garamond" w:hAnsi="Garamond"/>
              </w:rPr>
              <w:t>Misau</w:t>
            </w:r>
            <w:proofErr w:type="spellEnd"/>
          </w:p>
        </w:tc>
        <w:tc>
          <w:tcPr>
            <w:tcW w:w="0" w:type="auto"/>
          </w:tcPr>
          <w:p w14:paraId="3FD978B5"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30.8</w:t>
            </w:r>
          </w:p>
        </w:tc>
        <w:tc>
          <w:tcPr>
            <w:tcW w:w="0" w:type="auto"/>
          </w:tcPr>
          <w:p w14:paraId="14F8868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400</w:t>
            </w:r>
          </w:p>
        </w:tc>
      </w:tr>
      <w:tr w:rsidR="00AD7D88" w:rsidRPr="005871E7" w14:paraId="0497B093" w14:textId="77777777" w:rsidTr="002C3392">
        <w:tc>
          <w:tcPr>
            <w:tcW w:w="0" w:type="auto"/>
          </w:tcPr>
          <w:p w14:paraId="282EDD67" w14:textId="77777777" w:rsidR="00AD7D88" w:rsidRPr="005871E7" w:rsidRDefault="00AD7D88" w:rsidP="002C3392">
            <w:pPr>
              <w:pStyle w:val="Compact"/>
              <w:spacing w:line="360" w:lineRule="auto"/>
              <w:jc w:val="both"/>
              <w:rPr>
                <w:rFonts w:ascii="Garamond" w:hAnsi="Garamond"/>
              </w:rPr>
            </w:pPr>
            <w:proofErr w:type="spellStart"/>
            <w:r w:rsidRPr="005871E7">
              <w:rPr>
                <w:rFonts w:ascii="Garamond" w:hAnsi="Garamond"/>
              </w:rPr>
              <w:t>Kirfi</w:t>
            </w:r>
            <w:proofErr w:type="spellEnd"/>
          </w:p>
        </w:tc>
        <w:tc>
          <w:tcPr>
            <w:tcW w:w="0" w:type="auto"/>
          </w:tcPr>
          <w:p w14:paraId="28F07590"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30.7</w:t>
            </w:r>
          </w:p>
        </w:tc>
        <w:tc>
          <w:tcPr>
            <w:tcW w:w="0" w:type="auto"/>
          </w:tcPr>
          <w:p w14:paraId="2BDAD12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323</w:t>
            </w:r>
          </w:p>
        </w:tc>
      </w:tr>
      <w:tr w:rsidR="00AD7D88" w:rsidRPr="005871E7" w14:paraId="12657589" w14:textId="77777777" w:rsidTr="002C3392">
        <w:tc>
          <w:tcPr>
            <w:tcW w:w="0" w:type="auto"/>
          </w:tcPr>
          <w:p w14:paraId="4A5DA93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Dass</w:t>
            </w:r>
          </w:p>
        </w:tc>
        <w:tc>
          <w:tcPr>
            <w:tcW w:w="0" w:type="auto"/>
          </w:tcPr>
          <w:p w14:paraId="06320E4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27.7</w:t>
            </w:r>
          </w:p>
        </w:tc>
        <w:tc>
          <w:tcPr>
            <w:tcW w:w="0" w:type="auto"/>
          </w:tcPr>
          <w:p w14:paraId="4959BAF0"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325</w:t>
            </w:r>
          </w:p>
        </w:tc>
      </w:tr>
      <w:tr w:rsidR="00AD7D88" w:rsidRPr="005871E7" w14:paraId="6181C48E" w14:textId="77777777" w:rsidTr="002C3392">
        <w:tc>
          <w:tcPr>
            <w:tcW w:w="0" w:type="auto"/>
          </w:tcPr>
          <w:p w14:paraId="595AD545" w14:textId="77777777" w:rsidR="00AD7D88" w:rsidRPr="005871E7" w:rsidRDefault="00AD7D88" w:rsidP="002C3392">
            <w:pPr>
              <w:pStyle w:val="Compact"/>
              <w:spacing w:line="360" w:lineRule="auto"/>
              <w:jc w:val="both"/>
              <w:rPr>
                <w:rFonts w:ascii="Garamond" w:hAnsi="Garamond"/>
              </w:rPr>
            </w:pPr>
            <w:proofErr w:type="spellStart"/>
            <w:r w:rsidRPr="005871E7">
              <w:rPr>
                <w:rFonts w:ascii="Garamond" w:hAnsi="Garamond"/>
              </w:rPr>
              <w:t>Alkaleri</w:t>
            </w:r>
            <w:proofErr w:type="spellEnd"/>
          </w:p>
        </w:tc>
        <w:tc>
          <w:tcPr>
            <w:tcW w:w="0" w:type="auto"/>
          </w:tcPr>
          <w:p w14:paraId="0CB4A35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26.5</w:t>
            </w:r>
          </w:p>
        </w:tc>
        <w:tc>
          <w:tcPr>
            <w:tcW w:w="0" w:type="auto"/>
          </w:tcPr>
          <w:p w14:paraId="08EC04D3"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499</w:t>
            </w:r>
          </w:p>
        </w:tc>
      </w:tr>
      <w:tr w:rsidR="00AD7D88" w:rsidRPr="005871E7" w14:paraId="536CABE4" w14:textId="77777777" w:rsidTr="002C3392">
        <w:tc>
          <w:tcPr>
            <w:tcW w:w="0" w:type="auto"/>
          </w:tcPr>
          <w:p w14:paraId="4A5E5460"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Tafawa-Balewa</w:t>
            </w:r>
          </w:p>
        </w:tc>
        <w:tc>
          <w:tcPr>
            <w:tcW w:w="0" w:type="auto"/>
          </w:tcPr>
          <w:p w14:paraId="1FD7CA15"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25.3</w:t>
            </w:r>
          </w:p>
        </w:tc>
        <w:tc>
          <w:tcPr>
            <w:tcW w:w="0" w:type="auto"/>
          </w:tcPr>
          <w:p w14:paraId="34704DF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400</w:t>
            </w:r>
          </w:p>
        </w:tc>
      </w:tr>
      <w:tr w:rsidR="00AD7D88" w:rsidRPr="005871E7" w14:paraId="20AE5D6D" w14:textId="77777777" w:rsidTr="002C3392">
        <w:tc>
          <w:tcPr>
            <w:tcW w:w="0" w:type="auto"/>
          </w:tcPr>
          <w:p w14:paraId="0B0B2086" w14:textId="77777777" w:rsidR="00AD7D88" w:rsidRPr="005871E7" w:rsidRDefault="00AD7D88" w:rsidP="002C3392">
            <w:pPr>
              <w:pStyle w:val="Compact"/>
              <w:spacing w:line="360" w:lineRule="auto"/>
              <w:jc w:val="both"/>
              <w:rPr>
                <w:rFonts w:ascii="Garamond" w:hAnsi="Garamond"/>
              </w:rPr>
            </w:pPr>
            <w:proofErr w:type="spellStart"/>
            <w:r w:rsidRPr="005871E7">
              <w:rPr>
                <w:rFonts w:ascii="Garamond" w:hAnsi="Garamond"/>
              </w:rPr>
              <w:t>Warji</w:t>
            </w:r>
            <w:proofErr w:type="spellEnd"/>
          </w:p>
        </w:tc>
        <w:tc>
          <w:tcPr>
            <w:tcW w:w="0" w:type="auto"/>
          </w:tcPr>
          <w:p w14:paraId="44EB6E3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24.9</w:t>
            </w:r>
          </w:p>
        </w:tc>
        <w:tc>
          <w:tcPr>
            <w:tcW w:w="0" w:type="auto"/>
          </w:tcPr>
          <w:p w14:paraId="16F06DB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325</w:t>
            </w:r>
          </w:p>
        </w:tc>
      </w:tr>
      <w:tr w:rsidR="00AD7D88" w:rsidRPr="005871E7" w14:paraId="19C980AA" w14:textId="77777777" w:rsidTr="002C3392">
        <w:tc>
          <w:tcPr>
            <w:tcW w:w="0" w:type="auto"/>
          </w:tcPr>
          <w:p w14:paraId="5C42E4CE" w14:textId="77777777" w:rsidR="00AD7D88" w:rsidRPr="005871E7" w:rsidRDefault="00AD7D88" w:rsidP="002C3392">
            <w:pPr>
              <w:pStyle w:val="Compact"/>
              <w:spacing w:line="360" w:lineRule="auto"/>
              <w:jc w:val="both"/>
              <w:rPr>
                <w:rFonts w:ascii="Garamond" w:hAnsi="Garamond"/>
              </w:rPr>
            </w:pPr>
            <w:proofErr w:type="spellStart"/>
            <w:r w:rsidRPr="005871E7">
              <w:rPr>
                <w:rFonts w:ascii="Garamond" w:hAnsi="Garamond"/>
              </w:rPr>
              <w:t>Giade</w:t>
            </w:r>
            <w:proofErr w:type="spellEnd"/>
          </w:p>
        </w:tc>
        <w:tc>
          <w:tcPr>
            <w:tcW w:w="0" w:type="auto"/>
          </w:tcPr>
          <w:p w14:paraId="0D50943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22.8</w:t>
            </w:r>
          </w:p>
        </w:tc>
        <w:tc>
          <w:tcPr>
            <w:tcW w:w="0" w:type="auto"/>
          </w:tcPr>
          <w:p w14:paraId="6753ED75"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325</w:t>
            </w:r>
          </w:p>
        </w:tc>
      </w:tr>
      <w:tr w:rsidR="00AD7D88" w:rsidRPr="005871E7" w14:paraId="6C0E24BD" w14:textId="77777777" w:rsidTr="002C3392">
        <w:tc>
          <w:tcPr>
            <w:tcW w:w="0" w:type="auto"/>
          </w:tcPr>
          <w:p w14:paraId="6259C775" w14:textId="77777777" w:rsidR="00AD7D88" w:rsidRPr="005871E7" w:rsidRDefault="00AD7D88" w:rsidP="002C3392">
            <w:pPr>
              <w:pStyle w:val="Compact"/>
              <w:spacing w:line="360" w:lineRule="auto"/>
              <w:jc w:val="both"/>
              <w:rPr>
                <w:rFonts w:ascii="Garamond" w:hAnsi="Garamond"/>
              </w:rPr>
            </w:pPr>
            <w:proofErr w:type="spellStart"/>
            <w:r w:rsidRPr="005871E7">
              <w:rPr>
                <w:rFonts w:ascii="Garamond" w:hAnsi="Garamond"/>
              </w:rPr>
              <w:t>Bogoro</w:t>
            </w:r>
            <w:proofErr w:type="spellEnd"/>
          </w:p>
        </w:tc>
        <w:tc>
          <w:tcPr>
            <w:tcW w:w="0" w:type="auto"/>
          </w:tcPr>
          <w:p w14:paraId="2945BB35"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22.2</w:t>
            </w:r>
          </w:p>
        </w:tc>
        <w:tc>
          <w:tcPr>
            <w:tcW w:w="0" w:type="auto"/>
          </w:tcPr>
          <w:p w14:paraId="732BA2B6"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325</w:t>
            </w:r>
          </w:p>
        </w:tc>
      </w:tr>
      <w:tr w:rsidR="00AD7D88" w:rsidRPr="005871E7" w14:paraId="66113C94" w14:textId="77777777" w:rsidTr="002C3392">
        <w:tc>
          <w:tcPr>
            <w:tcW w:w="0" w:type="auto"/>
          </w:tcPr>
          <w:p w14:paraId="75A453F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DAMBAM</w:t>
            </w:r>
          </w:p>
        </w:tc>
        <w:tc>
          <w:tcPr>
            <w:tcW w:w="0" w:type="auto"/>
          </w:tcPr>
          <w:p w14:paraId="3C369E9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22.1</w:t>
            </w:r>
          </w:p>
        </w:tc>
        <w:tc>
          <w:tcPr>
            <w:tcW w:w="0" w:type="auto"/>
          </w:tcPr>
          <w:p w14:paraId="16701CE5"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398</w:t>
            </w:r>
          </w:p>
        </w:tc>
      </w:tr>
      <w:tr w:rsidR="00AD7D88" w:rsidRPr="005871E7" w14:paraId="6FB79AF9" w14:textId="77777777" w:rsidTr="002C3392">
        <w:tc>
          <w:tcPr>
            <w:tcW w:w="0" w:type="auto"/>
          </w:tcPr>
          <w:p w14:paraId="3E4DED3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Zaki</w:t>
            </w:r>
          </w:p>
        </w:tc>
        <w:tc>
          <w:tcPr>
            <w:tcW w:w="0" w:type="auto"/>
          </w:tcPr>
          <w:p w14:paraId="4E92C6C0"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17.3</w:t>
            </w:r>
          </w:p>
        </w:tc>
        <w:tc>
          <w:tcPr>
            <w:tcW w:w="0" w:type="auto"/>
          </w:tcPr>
          <w:p w14:paraId="6FDF972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450</w:t>
            </w:r>
          </w:p>
        </w:tc>
      </w:tr>
      <w:tr w:rsidR="00AD7D88" w:rsidRPr="005871E7" w14:paraId="56F24BFD" w14:textId="77777777" w:rsidTr="002C3392">
        <w:tc>
          <w:tcPr>
            <w:tcW w:w="0" w:type="auto"/>
          </w:tcPr>
          <w:p w14:paraId="71C12596" w14:textId="77777777" w:rsidR="00AD7D88" w:rsidRPr="005871E7" w:rsidRDefault="00AD7D88" w:rsidP="002C3392">
            <w:pPr>
              <w:pStyle w:val="Compact"/>
              <w:spacing w:line="360" w:lineRule="auto"/>
              <w:jc w:val="both"/>
              <w:rPr>
                <w:rFonts w:ascii="Garamond" w:hAnsi="Garamond"/>
              </w:rPr>
            </w:pPr>
            <w:proofErr w:type="spellStart"/>
            <w:r w:rsidRPr="005871E7">
              <w:rPr>
                <w:rFonts w:ascii="Garamond" w:hAnsi="Garamond"/>
              </w:rPr>
              <w:t>Ganjuwa</w:t>
            </w:r>
            <w:proofErr w:type="spellEnd"/>
          </w:p>
        </w:tc>
        <w:tc>
          <w:tcPr>
            <w:tcW w:w="0" w:type="auto"/>
          </w:tcPr>
          <w:p w14:paraId="19CBD153"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15.3</w:t>
            </w:r>
          </w:p>
        </w:tc>
        <w:tc>
          <w:tcPr>
            <w:tcW w:w="0" w:type="auto"/>
          </w:tcPr>
          <w:p w14:paraId="3B2A0AE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400</w:t>
            </w:r>
          </w:p>
        </w:tc>
      </w:tr>
      <w:tr w:rsidR="00AD7D88" w:rsidRPr="005871E7" w14:paraId="3795B92B" w14:textId="77777777" w:rsidTr="002C3392">
        <w:tc>
          <w:tcPr>
            <w:tcW w:w="0" w:type="auto"/>
          </w:tcPr>
          <w:p w14:paraId="285A0898"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Shira</w:t>
            </w:r>
          </w:p>
        </w:tc>
        <w:tc>
          <w:tcPr>
            <w:tcW w:w="0" w:type="auto"/>
          </w:tcPr>
          <w:p w14:paraId="21088756"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14.8</w:t>
            </w:r>
          </w:p>
        </w:tc>
        <w:tc>
          <w:tcPr>
            <w:tcW w:w="0" w:type="auto"/>
          </w:tcPr>
          <w:p w14:paraId="5F3CB918"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474</w:t>
            </w:r>
          </w:p>
        </w:tc>
      </w:tr>
      <w:tr w:rsidR="00AD7D88" w:rsidRPr="005871E7" w14:paraId="6EF25728" w14:textId="77777777" w:rsidTr="002C3392">
        <w:tc>
          <w:tcPr>
            <w:tcW w:w="0" w:type="auto"/>
          </w:tcPr>
          <w:p w14:paraId="05ED6C3C" w14:textId="77777777" w:rsidR="00AD7D88" w:rsidRPr="005871E7" w:rsidRDefault="00AD7D88" w:rsidP="002C3392">
            <w:pPr>
              <w:pStyle w:val="Compact"/>
              <w:spacing w:line="360" w:lineRule="auto"/>
              <w:jc w:val="both"/>
              <w:rPr>
                <w:rFonts w:ascii="Garamond" w:hAnsi="Garamond"/>
              </w:rPr>
            </w:pPr>
            <w:proofErr w:type="spellStart"/>
            <w:r w:rsidRPr="005871E7">
              <w:rPr>
                <w:rFonts w:ascii="Garamond" w:hAnsi="Garamond"/>
              </w:rPr>
              <w:t>Ningi</w:t>
            </w:r>
            <w:proofErr w:type="spellEnd"/>
          </w:p>
        </w:tc>
        <w:tc>
          <w:tcPr>
            <w:tcW w:w="0" w:type="auto"/>
          </w:tcPr>
          <w:p w14:paraId="005DE376"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14.0</w:t>
            </w:r>
          </w:p>
        </w:tc>
        <w:tc>
          <w:tcPr>
            <w:tcW w:w="0" w:type="auto"/>
          </w:tcPr>
          <w:p w14:paraId="2CEBD90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400</w:t>
            </w:r>
          </w:p>
        </w:tc>
      </w:tr>
      <w:tr w:rsidR="00AD7D88" w:rsidRPr="005871E7" w14:paraId="7F0A50AA" w14:textId="77777777" w:rsidTr="002C3392">
        <w:tc>
          <w:tcPr>
            <w:tcW w:w="0" w:type="auto"/>
          </w:tcPr>
          <w:p w14:paraId="620691CA" w14:textId="77777777" w:rsidR="00AD7D88" w:rsidRPr="005871E7" w:rsidRDefault="00AD7D88" w:rsidP="002C3392">
            <w:pPr>
              <w:pStyle w:val="Compact"/>
              <w:spacing w:line="360" w:lineRule="auto"/>
              <w:jc w:val="both"/>
              <w:rPr>
                <w:rFonts w:ascii="Garamond" w:hAnsi="Garamond"/>
              </w:rPr>
            </w:pPr>
            <w:proofErr w:type="spellStart"/>
            <w:r w:rsidRPr="005871E7">
              <w:rPr>
                <w:rFonts w:ascii="Garamond" w:hAnsi="Garamond"/>
              </w:rPr>
              <w:t>Jama’are</w:t>
            </w:r>
            <w:proofErr w:type="spellEnd"/>
          </w:p>
        </w:tc>
        <w:tc>
          <w:tcPr>
            <w:tcW w:w="0" w:type="auto"/>
          </w:tcPr>
          <w:p w14:paraId="3113E0C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12.9</w:t>
            </w:r>
          </w:p>
        </w:tc>
        <w:tc>
          <w:tcPr>
            <w:tcW w:w="0" w:type="auto"/>
          </w:tcPr>
          <w:p w14:paraId="62A214F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325</w:t>
            </w:r>
          </w:p>
        </w:tc>
      </w:tr>
      <w:tr w:rsidR="00AD7D88" w:rsidRPr="005871E7" w14:paraId="2B0FC7EB" w14:textId="77777777" w:rsidTr="002C3392">
        <w:tc>
          <w:tcPr>
            <w:tcW w:w="0" w:type="auto"/>
          </w:tcPr>
          <w:p w14:paraId="49C59845"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lastRenderedPageBreak/>
              <w:t>Itas/Gadau</w:t>
            </w:r>
          </w:p>
        </w:tc>
        <w:tc>
          <w:tcPr>
            <w:tcW w:w="0" w:type="auto"/>
          </w:tcPr>
          <w:p w14:paraId="3C6F7B7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9.8</w:t>
            </w:r>
          </w:p>
        </w:tc>
        <w:tc>
          <w:tcPr>
            <w:tcW w:w="0" w:type="auto"/>
          </w:tcPr>
          <w:p w14:paraId="1BE13DE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400</w:t>
            </w:r>
          </w:p>
        </w:tc>
      </w:tr>
      <w:tr w:rsidR="00AD7D88" w:rsidRPr="005871E7" w14:paraId="3492ED35" w14:textId="77777777" w:rsidTr="002C3392">
        <w:tc>
          <w:tcPr>
            <w:tcW w:w="0" w:type="auto"/>
          </w:tcPr>
          <w:p w14:paraId="17753A6C" w14:textId="77777777" w:rsidR="00AD7D88" w:rsidRPr="005871E7" w:rsidRDefault="00AD7D88" w:rsidP="002C3392">
            <w:pPr>
              <w:pStyle w:val="Compact"/>
              <w:spacing w:line="360" w:lineRule="auto"/>
              <w:jc w:val="both"/>
              <w:rPr>
                <w:rFonts w:ascii="Garamond" w:hAnsi="Garamond"/>
              </w:rPr>
            </w:pPr>
            <w:proofErr w:type="spellStart"/>
            <w:r w:rsidRPr="005871E7">
              <w:rPr>
                <w:rFonts w:ascii="Garamond" w:hAnsi="Garamond"/>
              </w:rPr>
              <w:t>Katagum</w:t>
            </w:r>
            <w:proofErr w:type="spellEnd"/>
          </w:p>
        </w:tc>
        <w:tc>
          <w:tcPr>
            <w:tcW w:w="0" w:type="auto"/>
          </w:tcPr>
          <w:p w14:paraId="074EEF9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7.0</w:t>
            </w:r>
          </w:p>
        </w:tc>
        <w:tc>
          <w:tcPr>
            <w:tcW w:w="0" w:type="auto"/>
          </w:tcPr>
          <w:p w14:paraId="7A4B4494"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501</w:t>
            </w:r>
          </w:p>
        </w:tc>
      </w:tr>
      <w:tr w:rsidR="00AD7D88" w:rsidRPr="005871E7" w14:paraId="05B413B9" w14:textId="77777777" w:rsidTr="002C3392">
        <w:tc>
          <w:tcPr>
            <w:tcW w:w="0" w:type="auto"/>
          </w:tcPr>
          <w:p w14:paraId="03A2E572" w14:textId="77777777" w:rsidR="00AD7D88" w:rsidRPr="005871E7" w:rsidRDefault="00AD7D88" w:rsidP="002C3392">
            <w:pPr>
              <w:pStyle w:val="Compact"/>
              <w:spacing w:line="360" w:lineRule="auto"/>
              <w:jc w:val="both"/>
              <w:rPr>
                <w:rFonts w:ascii="Garamond" w:hAnsi="Garamond"/>
              </w:rPr>
            </w:pPr>
            <w:proofErr w:type="spellStart"/>
            <w:r w:rsidRPr="005871E7">
              <w:rPr>
                <w:rFonts w:ascii="Garamond" w:hAnsi="Garamond"/>
              </w:rPr>
              <w:t>Gamawa</w:t>
            </w:r>
            <w:proofErr w:type="spellEnd"/>
          </w:p>
        </w:tc>
        <w:tc>
          <w:tcPr>
            <w:tcW w:w="0" w:type="auto"/>
          </w:tcPr>
          <w:p w14:paraId="1B48FC1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5.1</w:t>
            </w:r>
          </w:p>
        </w:tc>
        <w:tc>
          <w:tcPr>
            <w:tcW w:w="0" w:type="auto"/>
          </w:tcPr>
          <w:p w14:paraId="59FACDC0"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449</w:t>
            </w:r>
          </w:p>
        </w:tc>
      </w:tr>
    </w:tbl>
    <w:p w14:paraId="686552EE" w14:textId="77777777" w:rsidR="00AD7D88" w:rsidRPr="005871E7" w:rsidRDefault="00AD7D88" w:rsidP="00AD7D88">
      <w:pPr>
        <w:pStyle w:val="BodyText"/>
        <w:spacing w:line="360" w:lineRule="auto"/>
        <w:jc w:val="both"/>
        <w:rPr>
          <w:rFonts w:ascii="Garamond" w:hAnsi="Garamond"/>
        </w:rPr>
      </w:pPr>
      <w:r w:rsidRPr="005871E7">
        <w:rPr>
          <w:rFonts w:ascii="Garamond" w:hAnsi="Garamond"/>
        </w:rPr>
        <w:t xml:space="preserve">There is substantial variation in MUAC screening coverage across LGAs. </w:t>
      </w:r>
      <w:proofErr w:type="spellStart"/>
      <w:r w:rsidRPr="005871E7">
        <w:rPr>
          <w:rFonts w:ascii="Garamond" w:hAnsi="Garamond"/>
        </w:rPr>
        <w:t>Darazo</w:t>
      </w:r>
      <w:proofErr w:type="spellEnd"/>
      <w:r w:rsidRPr="005871E7">
        <w:rPr>
          <w:rFonts w:ascii="Garamond" w:hAnsi="Garamond"/>
        </w:rPr>
        <w:t xml:space="preserve"> (51.4%) and Bauchi (41.6%) achieved the highest coverage rates, while </w:t>
      </w:r>
      <w:proofErr w:type="spellStart"/>
      <w:r w:rsidRPr="005871E7">
        <w:rPr>
          <w:rFonts w:ascii="Garamond" w:hAnsi="Garamond"/>
        </w:rPr>
        <w:t>Katagum</w:t>
      </w:r>
      <w:proofErr w:type="spellEnd"/>
      <w:r w:rsidRPr="005871E7">
        <w:rPr>
          <w:rFonts w:ascii="Garamond" w:hAnsi="Garamond"/>
        </w:rPr>
        <w:t xml:space="preserve"> (7.0%) and </w:t>
      </w:r>
      <w:proofErr w:type="spellStart"/>
      <w:r w:rsidRPr="005871E7">
        <w:rPr>
          <w:rFonts w:ascii="Garamond" w:hAnsi="Garamond"/>
        </w:rPr>
        <w:t>Gamawa</w:t>
      </w:r>
      <w:proofErr w:type="spellEnd"/>
      <w:r w:rsidRPr="005871E7">
        <w:rPr>
          <w:rFonts w:ascii="Garamond" w:hAnsi="Garamond"/>
        </w:rPr>
        <w:t xml:space="preserve"> (5.1%) reported the lowest.</w:t>
      </w:r>
    </w:p>
    <w:p w14:paraId="122B738B" w14:textId="77777777" w:rsidR="00AD7D88" w:rsidRPr="005871E7" w:rsidRDefault="00AD7D88" w:rsidP="00AD7D88">
      <w:pPr>
        <w:pStyle w:val="BodyText"/>
        <w:spacing w:line="360" w:lineRule="auto"/>
        <w:jc w:val="both"/>
        <w:rPr>
          <w:rFonts w:ascii="Garamond" w:hAnsi="Garamond"/>
        </w:rPr>
      </w:pPr>
      <w:r w:rsidRPr="005871E7">
        <w:rPr>
          <w:rFonts w:ascii="Garamond" w:hAnsi="Garamond"/>
        </w:rPr>
        <w:t xml:space="preserve">A Pearson’s Chi-squared test confirmed that these differences in MUAC screening coverage by LGA are statistically significant </w:t>
      </w:r>
      <m:oMath>
        <m:r>
          <m:rPr>
            <m:sty m:val="p"/>
          </m:rPr>
          <w:rPr>
            <w:rFonts w:ascii="Cambria Math" w:hAnsi="Cambria Math"/>
          </w:rPr>
          <m:t>(</m:t>
        </m:r>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624.52</m:t>
        </m:r>
        <m:r>
          <m:rPr>
            <m:sty m:val="p"/>
          </m:rPr>
          <w:rPr>
            <w:rFonts w:ascii="Cambria Math" w:hAnsi="Cambria Math"/>
          </w:rPr>
          <m:t>,</m:t>
        </m:r>
        <m:r>
          <w:rPr>
            <w:rFonts w:ascii="Cambria Math" w:hAnsi="Cambria Math"/>
          </w:rPr>
          <m:t> df</m:t>
        </m:r>
        <m:r>
          <m:rPr>
            <m:sty m:val="p"/>
          </m:rPr>
          <w:rPr>
            <w:rFonts w:ascii="Cambria Math" w:hAnsi="Cambria Math"/>
          </w:rPr>
          <m:t>=</m:t>
        </m:r>
        <m:r>
          <w:rPr>
            <w:rFonts w:ascii="Cambria Math" w:hAnsi="Cambria Math"/>
          </w:rPr>
          <m:t>19</m:t>
        </m:r>
        <m:r>
          <m:rPr>
            <m:sty m:val="p"/>
          </m:rPr>
          <w:rPr>
            <w:rFonts w:ascii="Cambria Math" w:hAnsi="Cambria Math"/>
          </w:rPr>
          <m:t>,</m:t>
        </m:r>
        <m:r>
          <w:rPr>
            <w:rFonts w:ascii="Cambria Math" w:hAnsi="Cambria Math"/>
          </w:rPr>
          <m:t> p</m:t>
        </m:r>
        <m:r>
          <m:rPr>
            <m:sty m:val="p"/>
          </m:rPr>
          <w:rPr>
            <w:rFonts w:ascii="Cambria Math" w:hAnsi="Cambria Math"/>
          </w:rPr>
          <m:t>&lt;</m:t>
        </m:r>
        <m:r>
          <w:rPr>
            <w:rFonts w:ascii="Cambria Math" w:hAnsi="Cambria Math"/>
          </w:rPr>
          <m:t>2.2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16</m:t>
            </m:r>
          </m:sup>
        </m:sSup>
        <m:r>
          <m:rPr>
            <m:sty m:val="p"/>
          </m:rPr>
          <w:rPr>
            <w:rFonts w:ascii="Cambria Math" w:hAnsi="Cambria Math"/>
          </w:rPr>
          <m:t>)</m:t>
        </m:r>
      </m:oMath>
      <w:r w:rsidRPr="005871E7">
        <w:rPr>
          <w:rFonts w:ascii="Garamond" w:hAnsi="Garamond"/>
        </w:rPr>
        <w:t xml:space="preserve">. </w:t>
      </w:r>
      <w:proofErr w:type="gramStart"/>
      <w:r w:rsidRPr="005871E7">
        <w:rPr>
          <w:rFonts w:ascii="Garamond" w:hAnsi="Garamond"/>
        </w:rPr>
        <w:t>The Cramér’s</w:t>
      </w:r>
      <w:proofErr w:type="gramEnd"/>
      <w:r w:rsidRPr="005871E7">
        <w:rPr>
          <w:rFonts w:ascii="Garamond" w:hAnsi="Garamond"/>
        </w:rPr>
        <w:t xml:space="preserve"> V statistic was 0.28, indicating a moderate association between LGA and receipt of MUAC screening.</w:t>
      </w:r>
    </w:p>
    <w:p w14:paraId="27FC515F" w14:textId="77777777" w:rsidR="00AD7D88" w:rsidRPr="005871E7" w:rsidRDefault="00AD7D88" w:rsidP="00AD7D88">
      <w:pPr>
        <w:pStyle w:val="BodyText"/>
        <w:spacing w:line="360" w:lineRule="auto"/>
        <w:jc w:val="both"/>
        <w:rPr>
          <w:rFonts w:ascii="Garamond" w:hAnsi="Garamond"/>
        </w:rPr>
      </w:pPr>
      <w:r w:rsidRPr="005871E7">
        <w:rPr>
          <w:rFonts w:ascii="Garamond" w:hAnsi="Garamond"/>
          <w:noProof/>
        </w:rPr>
        <w:drawing>
          <wp:inline distT="0" distB="0" distL="0" distR="0" wp14:anchorId="4E4492F1" wp14:editId="37C6170B">
            <wp:extent cx="4620126" cy="3696101"/>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MC-SMCVAS-Baseline-Analysis_files/figure-docx/unnamed-chunk-3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5CA73FE" w14:textId="77777777" w:rsidR="00AD7D88" w:rsidRPr="005871E7" w:rsidRDefault="00AD7D88" w:rsidP="00AD7D88">
      <w:pPr>
        <w:pStyle w:val="Heading3"/>
        <w:spacing w:line="360" w:lineRule="auto"/>
        <w:jc w:val="both"/>
        <w:rPr>
          <w:rFonts w:ascii="Garamond" w:hAnsi="Garamond"/>
        </w:rPr>
      </w:pPr>
      <w:bookmarkStart w:id="12" w:name="women-of-childbearing-age-1549-years"/>
      <w:bookmarkEnd w:id="11"/>
      <w:r w:rsidRPr="005871E7">
        <w:rPr>
          <w:rFonts w:ascii="Garamond" w:hAnsi="Garamond"/>
        </w:rPr>
        <w:lastRenderedPageBreak/>
        <w:t>2. Women of Childbearing Age (15–49 years)</w:t>
      </w:r>
    </w:p>
    <w:p w14:paraId="12D09FE2" w14:textId="77777777" w:rsidR="00AD7D88" w:rsidRPr="005871E7" w:rsidRDefault="00AD7D88" w:rsidP="00AD7D88">
      <w:pPr>
        <w:pStyle w:val="Heading4"/>
        <w:spacing w:line="360" w:lineRule="auto"/>
        <w:jc w:val="both"/>
        <w:rPr>
          <w:rFonts w:ascii="Garamond" w:hAnsi="Garamond"/>
        </w:rPr>
      </w:pPr>
      <w:bookmarkStart w:id="13" w:name="X7b58af897669bd255560d10c3d5ccbac70263db"/>
      <w:r w:rsidRPr="005871E7">
        <w:rPr>
          <w:rFonts w:ascii="Garamond" w:hAnsi="Garamond"/>
        </w:rPr>
        <w:t>a) Coverage of Iron and Folic Acid Supplementation (IFAS)</w:t>
      </w:r>
    </w:p>
    <w:p w14:paraId="689254F3"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 xml:space="preserve">Coverage of IFAS among eligible women during the last MNCHW was extremely low, with only </w:t>
      </w:r>
      <w:r w:rsidRPr="005871E7">
        <w:rPr>
          <w:rFonts w:ascii="Garamond" w:hAnsi="Garamond"/>
          <w:b/>
          <w:bCs/>
        </w:rPr>
        <w:t>7.4%</w:t>
      </w:r>
      <w:r w:rsidRPr="005871E7">
        <w:rPr>
          <w:rFonts w:ascii="Garamond" w:hAnsi="Garamond"/>
        </w:rPr>
        <w:t xml:space="preserve"> reporting receipt, </w:t>
      </w:r>
      <w:r w:rsidRPr="005871E7">
        <w:rPr>
          <w:rFonts w:ascii="Garamond" w:hAnsi="Garamond"/>
          <w:b/>
          <w:bCs/>
        </w:rPr>
        <w:t>7.4%</w:t>
      </w:r>
      <w:r w:rsidRPr="005871E7">
        <w:rPr>
          <w:rFonts w:ascii="Garamond" w:hAnsi="Garamond"/>
        </w:rPr>
        <w:t xml:space="preserve"> reporting not receiving, and the vast majority (</w:t>
      </w:r>
      <w:r w:rsidRPr="005871E7">
        <w:rPr>
          <w:rFonts w:ascii="Garamond" w:hAnsi="Garamond"/>
          <w:b/>
          <w:bCs/>
        </w:rPr>
        <w:t>85.2%</w:t>
      </w:r>
      <w:r w:rsidRPr="005871E7">
        <w:rPr>
          <w:rFonts w:ascii="Garamond" w:hAnsi="Garamond"/>
        </w:rPr>
        <w:t>) not answering. Among those who responded, valid coverage was 50.1%.</w:t>
      </w:r>
    </w:p>
    <w:tbl>
      <w:tblPr>
        <w:tblStyle w:val="Table"/>
        <w:tblW w:w="5000" w:type="pct"/>
        <w:tblLayout w:type="fixed"/>
        <w:tblLook w:val="0020" w:firstRow="1" w:lastRow="0" w:firstColumn="0" w:lastColumn="0" w:noHBand="0" w:noVBand="0"/>
      </w:tblPr>
      <w:tblGrid>
        <w:gridCol w:w="4208"/>
        <w:gridCol w:w="725"/>
        <w:gridCol w:w="1886"/>
        <w:gridCol w:w="2757"/>
      </w:tblGrid>
      <w:tr w:rsidR="00AD7D88" w:rsidRPr="005871E7" w14:paraId="1D88408E"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3480" w:type="dxa"/>
          </w:tcPr>
          <w:p w14:paraId="50D1E2C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IFAS Received at Last MNCHW</w:t>
            </w:r>
          </w:p>
        </w:tc>
        <w:tc>
          <w:tcPr>
            <w:tcW w:w="600" w:type="dxa"/>
          </w:tcPr>
          <w:p w14:paraId="1EF64A88"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Frequency</w:t>
            </w:r>
          </w:p>
        </w:tc>
        <w:tc>
          <w:tcPr>
            <w:tcW w:w="1560" w:type="dxa"/>
          </w:tcPr>
          <w:p w14:paraId="6996138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Percent (%)</w:t>
            </w:r>
          </w:p>
        </w:tc>
        <w:tc>
          <w:tcPr>
            <w:tcW w:w="2280" w:type="dxa"/>
          </w:tcPr>
          <w:p w14:paraId="3D771C5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Valid Percent (%)</w:t>
            </w:r>
          </w:p>
        </w:tc>
      </w:tr>
      <w:tr w:rsidR="00AD7D88" w:rsidRPr="005871E7" w14:paraId="6ED134A5" w14:textId="77777777" w:rsidTr="002C3392">
        <w:tc>
          <w:tcPr>
            <w:tcW w:w="3480" w:type="dxa"/>
          </w:tcPr>
          <w:p w14:paraId="0F214B7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Yes</w:t>
            </w:r>
          </w:p>
        </w:tc>
        <w:tc>
          <w:tcPr>
            <w:tcW w:w="600" w:type="dxa"/>
          </w:tcPr>
          <w:p w14:paraId="0B592A2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598</w:t>
            </w:r>
          </w:p>
        </w:tc>
        <w:tc>
          <w:tcPr>
            <w:tcW w:w="1560" w:type="dxa"/>
          </w:tcPr>
          <w:p w14:paraId="76B3527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7.4</w:t>
            </w:r>
          </w:p>
        </w:tc>
        <w:tc>
          <w:tcPr>
            <w:tcW w:w="2280" w:type="dxa"/>
          </w:tcPr>
          <w:p w14:paraId="58707F5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50.1</w:t>
            </w:r>
          </w:p>
        </w:tc>
      </w:tr>
      <w:tr w:rsidR="00AD7D88" w:rsidRPr="005871E7" w14:paraId="1C66E4CF" w14:textId="77777777" w:rsidTr="002C3392">
        <w:tc>
          <w:tcPr>
            <w:tcW w:w="3480" w:type="dxa"/>
          </w:tcPr>
          <w:p w14:paraId="6ADD7F3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No</w:t>
            </w:r>
          </w:p>
        </w:tc>
        <w:tc>
          <w:tcPr>
            <w:tcW w:w="600" w:type="dxa"/>
          </w:tcPr>
          <w:p w14:paraId="4E6598A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596</w:t>
            </w:r>
          </w:p>
        </w:tc>
        <w:tc>
          <w:tcPr>
            <w:tcW w:w="1560" w:type="dxa"/>
          </w:tcPr>
          <w:p w14:paraId="2A9EF3E6"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7.4</w:t>
            </w:r>
          </w:p>
        </w:tc>
        <w:tc>
          <w:tcPr>
            <w:tcW w:w="2280" w:type="dxa"/>
          </w:tcPr>
          <w:p w14:paraId="2EFF8A3C"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49.9</w:t>
            </w:r>
          </w:p>
        </w:tc>
      </w:tr>
      <w:tr w:rsidR="00AD7D88" w:rsidRPr="005871E7" w14:paraId="38C21CEB" w14:textId="77777777" w:rsidTr="002C3392">
        <w:tc>
          <w:tcPr>
            <w:tcW w:w="3480" w:type="dxa"/>
          </w:tcPr>
          <w:p w14:paraId="326497D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Missing/NA</w:t>
            </w:r>
          </w:p>
        </w:tc>
        <w:tc>
          <w:tcPr>
            <w:tcW w:w="600" w:type="dxa"/>
          </w:tcPr>
          <w:p w14:paraId="5821E740"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6847</w:t>
            </w:r>
          </w:p>
        </w:tc>
        <w:tc>
          <w:tcPr>
            <w:tcW w:w="1560" w:type="dxa"/>
          </w:tcPr>
          <w:p w14:paraId="27B15B6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85.2</w:t>
            </w:r>
          </w:p>
        </w:tc>
        <w:tc>
          <w:tcPr>
            <w:tcW w:w="2280" w:type="dxa"/>
          </w:tcPr>
          <w:p w14:paraId="5A0CD13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w:t>
            </w:r>
          </w:p>
        </w:tc>
      </w:tr>
    </w:tbl>
    <w:p w14:paraId="09DC2E3A" w14:textId="77777777" w:rsidR="00AD7D88" w:rsidRPr="005871E7" w:rsidRDefault="00AD7D88" w:rsidP="00AD7D88">
      <w:pPr>
        <w:pStyle w:val="Heading4"/>
        <w:spacing w:line="360" w:lineRule="auto"/>
        <w:jc w:val="both"/>
        <w:rPr>
          <w:rFonts w:ascii="Garamond" w:hAnsi="Garamond"/>
        </w:rPr>
      </w:pPr>
      <w:bookmarkStart w:id="14" w:name="b-coverage-of-tetanus-toxoid-tt"/>
      <w:bookmarkEnd w:id="13"/>
      <w:r w:rsidRPr="005871E7">
        <w:rPr>
          <w:rFonts w:ascii="Garamond" w:hAnsi="Garamond"/>
        </w:rPr>
        <w:t>b) Coverage of Tetanus Toxoid (TT)</w:t>
      </w:r>
    </w:p>
    <w:p w14:paraId="5EE62C27"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 xml:space="preserve">A total of </w:t>
      </w:r>
      <w:r w:rsidRPr="005871E7">
        <w:rPr>
          <w:rFonts w:ascii="Garamond" w:hAnsi="Garamond"/>
          <w:b/>
          <w:bCs/>
        </w:rPr>
        <w:t>36.1%</w:t>
      </w:r>
      <w:r w:rsidRPr="005871E7">
        <w:rPr>
          <w:rFonts w:ascii="Garamond" w:hAnsi="Garamond"/>
        </w:rPr>
        <w:t xml:space="preserve"> of women of childbearing age reported receiving at least one dose of tetanus toxoid during the last MNCHW, while </w:t>
      </w:r>
      <w:r w:rsidRPr="005871E7">
        <w:rPr>
          <w:rFonts w:ascii="Garamond" w:hAnsi="Garamond"/>
          <w:b/>
          <w:bCs/>
        </w:rPr>
        <w:t>63.9%</w:t>
      </w:r>
      <w:r w:rsidRPr="005871E7">
        <w:rPr>
          <w:rFonts w:ascii="Garamond" w:hAnsi="Garamond"/>
        </w:rPr>
        <w:t xml:space="preserve"> did not.</w:t>
      </w:r>
    </w:p>
    <w:tbl>
      <w:tblPr>
        <w:tblStyle w:val="Table"/>
        <w:tblW w:w="0" w:type="auto"/>
        <w:tblLook w:val="0020" w:firstRow="1" w:lastRow="0" w:firstColumn="0" w:lastColumn="0" w:noHBand="0" w:noVBand="0"/>
      </w:tblPr>
      <w:tblGrid>
        <w:gridCol w:w="3081"/>
        <w:gridCol w:w="1189"/>
        <w:gridCol w:w="1321"/>
      </w:tblGrid>
      <w:tr w:rsidR="00AD7D88" w:rsidRPr="005871E7" w14:paraId="7C0402C8"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0" w:type="auto"/>
          </w:tcPr>
          <w:p w14:paraId="3F38C024"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TT Received at Last MNCHW</w:t>
            </w:r>
          </w:p>
        </w:tc>
        <w:tc>
          <w:tcPr>
            <w:tcW w:w="0" w:type="auto"/>
          </w:tcPr>
          <w:p w14:paraId="7F2FF51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Frequency</w:t>
            </w:r>
          </w:p>
        </w:tc>
        <w:tc>
          <w:tcPr>
            <w:tcW w:w="0" w:type="auto"/>
          </w:tcPr>
          <w:p w14:paraId="6DDABFF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Percent (%)</w:t>
            </w:r>
          </w:p>
        </w:tc>
      </w:tr>
      <w:tr w:rsidR="00AD7D88" w:rsidRPr="005871E7" w14:paraId="474E1A6C" w14:textId="77777777" w:rsidTr="002C3392">
        <w:tc>
          <w:tcPr>
            <w:tcW w:w="0" w:type="auto"/>
          </w:tcPr>
          <w:p w14:paraId="40EBA393"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Yes</w:t>
            </w:r>
          </w:p>
        </w:tc>
        <w:tc>
          <w:tcPr>
            <w:tcW w:w="0" w:type="auto"/>
          </w:tcPr>
          <w:p w14:paraId="2AEF0E0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2,902</w:t>
            </w:r>
          </w:p>
        </w:tc>
        <w:tc>
          <w:tcPr>
            <w:tcW w:w="0" w:type="auto"/>
          </w:tcPr>
          <w:p w14:paraId="2FFAE5C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36.1</w:t>
            </w:r>
          </w:p>
        </w:tc>
      </w:tr>
      <w:tr w:rsidR="00AD7D88" w:rsidRPr="005871E7" w14:paraId="3E0EB14B" w14:textId="77777777" w:rsidTr="002C3392">
        <w:tc>
          <w:tcPr>
            <w:tcW w:w="0" w:type="auto"/>
          </w:tcPr>
          <w:p w14:paraId="1A58893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No</w:t>
            </w:r>
          </w:p>
        </w:tc>
        <w:tc>
          <w:tcPr>
            <w:tcW w:w="0" w:type="auto"/>
          </w:tcPr>
          <w:p w14:paraId="5195A12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5,139</w:t>
            </w:r>
          </w:p>
        </w:tc>
        <w:tc>
          <w:tcPr>
            <w:tcW w:w="0" w:type="auto"/>
          </w:tcPr>
          <w:p w14:paraId="74536320"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63.9</w:t>
            </w:r>
          </w:p>
        </w:tc>
      </w:tr>
    </w:tbl>
    <w:p w14:paraId="54B46F06" w14:textId="77777777" w:rsidR="00AD7D88" w:rsidRPr="005871E7" w:rsidRDefault="00AD7D88" w:rsidP="00AD7D88">
      <w:pPr>
        <w:pStyle w:val="Heading1"/>
        <w:spacing w:line="360" w:lineRule="auto"/>
        <w:jc w:val="both"/>
        <w:rPr>
          <w:rFonts w:ascii="Garamond" w:hAnsi="Garamond"/>
        </w:rPr>
      </w:pPr>
      <w:bookmarkStart w:id="15" w:name="Xaa55a41e03c2eb293ed3402fc97fd4b95b3c649"/>
      <w:bookmarkStart w:id="16" w:name="_Toc201569017"/>
      <w:bookmarkEnd w:id="2"/>
      <w:bookmarkEnd w:id="4"/>
      <w:bookmarkEnd w:id="12"/>
      <w:bookmarkEnd w:id="14"/>
      <w:r w:rsidRPr="005871E7">
        <w:rPr>
          <w:rFonts w:ascii="Garamond" w:hAnsi="Garamond"/>
        </w:rPr>
        <w:t>Objective 2: Perceptions of the Effect of Removing VAS from MNCHW on Demand and Uptake</w:t>
      </w:r>
      <w:bookmarkEnd w:id="16"/>
    </w:p>
    <w:p w14:paraId="29141EC9"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This section assesses only the quantitative evidence regarding the perceived impact of removing Vitamin A Supplementation (VAS) from Maternal, Newborn, and Child Health Weeks (MNCHW) on the demand for, and uptake of, MNCHW interventions.</w:t>
      </w:r>
    </w:p>
    <w:p w14:paraId="03EDC430" w14:textId="77777777" w:rsidR="00AD7D88" w:rsidRPr="005871E7" w:rsidRDefault="00AD7D88" w:rsidP="00AD7D88">
      <w:pPr>
        <w:pStyle w:val="Heading2"/>
        <w:spacing w:line="360" w:lineRule="auto"/>
        <w:jc w:val="both"/>
        <w:rPr>
          <w:rFonts w:ascii="Garamond" w:hAnsi="Garamond"/>
        </w:rPr>
      </w:pPr>
      <w:bookmarkStart w:id="17" w:name="caregiver-knowledge-and-perceptions"/>
      <w:bookmarkStart w:id="18" w:name="_Toc201569018"/>
      <w:r w:rsidRPr="005871E7">
        <w:rPr>
          <w:rFonts w:ascii="Garamond" w:hAnsi="Garamond"/>
        </w:rPr>
        <w:lastRenderedPageBreak/>
        <w:t>2.1 Caregiver Knowledge and Perceptions</w:t>
      </w:r>
      <w:bookmarkEnd w:id="18"/>
    </w:p>
    <w:p w14:paraId="538C1DA2" w14:textId="77777777" w:rsidR="00AD7D88" w:rsidRPr="005871E7" w:rsidRDefault="00AD7D88" w:rsidP="00AD7D88">
      <w:pPr>
        <w:pStyle w:val="Heading3"/>
        <w:spacing w:line="360" w:lineRule="auto"/>
        <w:jc w:val="both"/>
        <w:rPr>
          <w:rFonts w:ascii="Garamond" w:hAnsi="Garamond"/>
        </w:rPr>
      </w:pPr>
      <w:bookmarkStart w:id="19" w:name="awareness-of-mnchw-smc-and-vas"/>
      <w:r w:rsidRPr="005871E7">
        <w:rPr>
          <w:rFonts w:ascii="Garamond" w:hAnsi="Garamond"/>
        </w:rPr>
        <w:t>Awareness of MNCHW, SMC, and VAS</w:t>
      </w:r>
    </w:p>
    <w:tbl>
      <w:tblPr>
        <w:tblStyle w:val="Table"/>
        <w:tblW w:w="0" w:type="auto"/>
        <w:tblLook w:val="0020" w:firstRow="1" w:lastRow="0" w:firstColumn="0" w:lastColumn="0" w:noHBand="0" w:noVBand="0"/>
      </w:tblPr>
      <w:tblGrid>
        <w:gridCol w:w="1149"/>
        <w:gridCol w:w="1214"/>
        <w:gridCol w:w="1651"/>
      </w:tblGrid>
      <w:tr w:rsidR="00AD7D88" w:rsidRPr="005871E7" w14:paraId="578FCBFC"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0" w:type="auto"/>
          </w:tcPr>
          <w:p w14:paraId="4159B288"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Indicator</w:t>
            </w:r>
          </w:p>
        </w:tc>
        <w:tc>
          <w:tcPr>
            <w:tcW w:w="0" w:type="auto"/>
          </w:tcPr>
          <w:p w14:paraId="2922EDB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Aware (%)</w:t>
            </w:r>
          </w:p>
        </w:tc>
        <w:tc>
          <w:tcPr>
            <w:tcW w:w="0" w:type="auto"/>
          </w:tcPr>
          <w:p w14:paraId="3C0644F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Not Aware (%)</w:t>
            </w:r>
          </w:p>
        </w:tc>
      </w:tr>
      <w:tr w:rsidR="00AD7D88" w:rsidRPr="005871E7" w14:paraId="2C626CDA" w14:textId="77777777" w:rsidTr="002C3392">
        <w:tc>
          <w:tcPr>
            <w:tcW w:w="0" w:type="auto"/>
          </w:tcPr>
          <w:p w14:paraId="429154B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MNCHW</w:t>
            </w:r>
          </w:p>
        </w:tc>
        <w:tc>
          <w:tcPr>
            <w:tcW w:w="0" w:type="auto"/>
          </w:tcPr>
          <w:p w14:paraId="5C6CE0D4"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34.0</w:t>
            </w:r>
          </w:p>
        </w:tc>
        <w:tc>
          <w:tcPr>
            <w:tcW w:w="0" w:type="auto"/>
          </w:tcPr>
          <w:p w14:paraId="57F9FCC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66.0</w:t>
            </w:r>
          </w:p>
        </w:tc>
      </w:tr>
      <w:tr w:rsidR="00AD7D88" w:rsidRPr="005871E7" w14:paraId="4FA0685F" w14:textId="77777777" w:rsidTr="002C3392">
        <w:tc>
          <w:tcPr>
            <w:tcW w:w="0" w:type="auto"/>
          </w:tcPr>
          <w:p w14:paraId="56F6C0E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SMC</w:t>
            </w:r>
          </w:p>
        </w:tc>
        <w:tc>
          <w:tcPr>
            <w:tcW w:w="0" w:type="auto"/>
          </w:tcPr>
          <w:p w14:paraId="53528833"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w:t>
            </w:r>
          </w:p>
        </w:tc>
        <w:tc>
          <w:tcPr>
            <w:tcW w:w="0" w:type="auto"/>
          </w:tcPr>
          <w:p w14:paraId="203FEE2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w:t>
            </w:r>
          </w:p>
        </w:tc>
      </w:tr>
      <w:tr w:rsidR="00AD7D88" w:rsidRPr="005871E7" w14:paraId="0120704E" w14:textId="77777777" w:rsidTr="002C3392">
        <w:tc>
          <w:tcPr>
            <w:tcW w:w="0" w:type="auto"/>
          </w:tcPr>
          <w:p w14:paraId="57D0D74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VAS</w:t>
            </w:r>
          </w:p>
        </w:tc>
        <w:tc>
          <w:tcPr>
            <w:tcW w:w="0" w:type="auto"/>
          </w:tcPr>
          <w:p w14:paraId="01E0C08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68.4</w:t>
            </w:r>
          </w:p>
        </w:tc>
        <w:tc>
          <w:tcPr>
            <w:tcW w:w="0" w:type="auto"/>
          </w:tcPr>
          <w:p w14:paraId="2646B1D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31.6</w:t>
            </w:r>
          </w:p>
        </w:tc>
      </w:tr>
    </w:tbl>
    <w:p w14:paraId="54810E7E" w14:textId="77777777" w:rsidR="00AD7D88" w:rsidRPr="005871E7" w:rsidRDefault="00AD7D88" w:rsidP="00AD7D88">
      <w:pPr>
        <w:pStyle w:val="BodyText"/>
        <w:spacing w:line="360" w:lineRule="auto"/>
        <w:jc w:val="both"/>
        <w:rPr>
          <w:rFonts w:ascii="Garamond" w:hAnsi="Garamond"/>
        </w:rPr>
      </w:pPr>
      <w:r w:rsidRPr="005871E7">
        <w:rPr>
          <w:rFonts w:ascii="Garamond" w:hAnsi="Garamond"/>
          <w:i/>
          <w:iCs/>
        </w:rPr>
        <w:t>Note: SMC awareness was not captured during the survey.</w:t>
      </w:r>
    </w:p>
    <w:p w14:paraId="7615CD6A" w14:textId="77777777" w:rsidR="00AD7D88" w:rsidRPr="005871E7" w:rsidRDefault="00AD7D88" w:rsidP="00AD7D88">
      <w:pPr>
        <w:pStyle w:val="BodyText"/>
        <w:spacing w:line="360" w:lineRule="auto"/>
        <w:jc w:val="both"/>
        <w:rPr>
          <w:rFonts w:ascii="Garamond" w:hAnsi="Garamond"/>
        </w:rPr>
      </w:pPr>
      <w:r w:rsidRPr="005871E7">
        <w:rPr>
          <w:rFonts w:ascii="Garamond" w:hAnsi="Garamond"/>
        </w:rPr>
        <w:t>Other Objective indicators can be completed from qualitative findings.</w:t>
      </w:r>
    </w:p>
    <w:p w14:paraId="3D76586A" w14:textId="77777777" w:rsidR="00AD7D88" w:rsidRPr="005871E7" w:rsidRDefault="00AD7D88" w:rsidP="00AD7D88">
      <w:pPr>
        <w:pStyle w:val="Heading1"/>
        <w:spacing w:line="360" w:lineRule="auto"/>
        <w:jc w:val="both"/>
        <w:rPr>
          <w:rFonts w:ascii="Garamond" w:hAnsi="Garamond"/>
        </w:rPr>
      </w:pPr>
      <w:bookmarkStart w:id="20" w:name="Xad1bc8e362eed207f06ee5fda15d39792001eb6"/>
      <w:bookmarkStart w:id="21" w:name="_Toc201569019"/>
      <w:bookmarkEnd w:id="15"/>
      <w:bookmarkEnd w:id="17"/>
      <w:bookmarkEnd w:id="19"/>
      <w:r w:rsidRPr="005871E7">
        <w:rPr>
          <w:rFonts w:ascii="Garamond" w:hAnsi="Garamond"/>
        </w:rPr>
        <w:t>Objective 3: Coverage of Vitamin A Supplementation Following Integration with SMC</w:t>
      </w:r>
      <w:bookmarkEnd w:id="21"/>
    </w:p>
    <w:p w14:paraId="002AAC8F"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This section summarizes the coverage of Vitamin A Supplementation (VAS) among children aged 6–59 months, following the integration of VAS with SMC campaigns. Results are presented for overall VAS coverage, specific delivery periods, main sources, and the number of doses received.</w:t>
      </w:r>
    </w:p>
    <w:p w14:paraId="002A9975" w14:textId="77777777" w:rsidR="00AD7D88" w:rsidRPr="005871E7" w:rsidRDefault="00AD7D88" w:rsidP="00AD7D88">
      <w:pPr>
        <w:pStyle w:val="Heading2"/>
        <w:spacing w:line="360" w:lineRule="auto"/>
        <w:jc w:val="both"/>
        <w:rPr>
          <w:rFonts w:ascii="Garamond" w:hAnsi="Garamond"/>
        </w:rPr>
      </w:pPr>
      <w:bookmarkStart w:id="22" w:name="Xb4ac0bc9f01948495b6dd0097b658eddccd0637"/>
      <w:bookmarkStart w:id="23" w:name="_Toc201569020"/>
      <w:r w:rsidRPr="005871E7">
        <w:rPr>
          <w:rFonts w:ascii="Garamond" w:hAnsi="Garamond"/>
        </w:rPr>
        <w:t>3.1 Overall VAS Coverage in the Last 6 Months</w:t>
      </w:r>
      <w:bookmarkEnd w:id="23"/>
    </w:p>
    <w:p w14:paraId="7D4DD71F"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 xml:space="preserve">Among children aged 6–59 months, </w:t>
      </w:r>
      <w:r w:rsidRPr="005871E7">
        <w:rPr>
          <w:rFonts w:ascii="Garamond" w:hAnsi="Garamond"/>
          <w:b/>
          <w:bCs/>
        </w:rPr>
        <w:t>39.8%</w:t>
      </w:r>
      <w:r w:rsidRPr="005871E7">
        <w:rPr>
          <w:rFonts w:ascii="Garamond" w:hAnsi="Garamond"/>
        </w:rPr>
        <w:t xml:space="preserve"> received at least one dose of vitamin A in the last 6 months, while </w:t>
      </w:r>
      <w:r w:rsidRPr="005871E7">
        <w:rPr>
          <w:rFonts w:ascii="Garamond" w:hAnsi="Garamond"/>
          <w:b/>
          <w:bCs/>
        </w:rPr>
        <w:t>60.2%</w:t>
      </w:r>
      <w:r w:rsidRPr="005871E7">
        <w:rPr>
          <w:rFonts w:ascii="Garamond" w:hAnsi="Garamond"/>
        </w:rPr>
        <w:t xml:space="preserve"> did not.</w:t>
      </w:r>
    </w:p>
    <w:tbl>
      <w:tblPr>
        <w:tblStyle w:val="Table"/>
        <w:tblW w:w="0" w:type="auto"/>
        <w:tblLook w:val="0020" w:firstRow="1" w:lastRow="0" w:firstColumn="0" w:lastColumn="0" w:noHBand="0" w:noVBand="0"/>
      </w:tblPr>
      <w:tblGrid>
        <w:gridCol w:w="3201"/>
        <w:gridCol w:w="719"/>
        <w:gridCol w:w="1321"/>
      </w:tblGrid>
      <w:tr w:rsidR="00AD7D88" w:rsidRPr="005871E7" w14:paraId="72BC17D6"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0" w:type="auto"/>
          </w:tcPr>
          <w:p w14:paraId="2E42C2A0"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 xml:space="preserve">Received VAS in </w:t>
            </w:r>
            <w:proofErr w:type="gramStart"/>
            <w:r w:rsidRPr="005871E7">
              <w:rPr>
                <w:rFonts w:ascii="Garamond" w:hAnsi="Garamond"/>
              </w:rPr>
              <w:t>Last</w:t>
            </w:r>
            <w:proofErr w:type="gramEnd"/>
            <w:r w:rsidRPr="005871E7">
              <w:rPr>
                <w:rFonts w:ascii="Garamond" w:hAnsi="Garamond"/>
              </w:rPr>
              <w:t xml:space="preserve"> 6 Months</w:t>
            </w:r>
          </w:p>
        </w:tc>
        <w:tc>
          <w:tcPr>
            <w:tcW w:w="0" w:type="auto"/>
          </w:tcPr>
          <w:p w14:paraId="52314A84"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w:t>
            </w:r>
          </w:p>
        </w:tc>
        <w:tc>
          <w:tcPr>
            <w:tcW w:w="0" w:type="auto"/>
          </w:tcPr>
          <w:p w14:paraId="4804945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Percent (%)</w:t>
            </w:r>
          </w:p>
        </w:tc>
      </w:tr>
      <w:tr w:rsidR="00AD7D88" w:rsidRPr="005871E7" w14:paraId="5621A20B" w14:textId="77777777" w:rsidTr="002C3392">
        <w:tc>
          <w:tcPr>
            <w:tcW w:w="0" w:type="auto"/>
          </w:tcPr>
          <w:p w14:paraId="34EB501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Yes</w:t>
            </w:r>
          </w:p>
        </w:tc>
        <w:tc>
          <w:tcPr>
            <w:tcW w:w="0" w:type="auto"/>
          </w:tcPr>
          <w:p w14:paraId="426CA38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2,815</w:t>
            </w:r>
          </w:p>
        </w:tc>
        <w:tc>
          <w:tcPr>
            <w:tcW w:w="0" w:type="auto"/>
          </w:tcPr>
          <w:p w14:paraId="5CCA40B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39.8</w:t>
            </w:r>
          </w:p>
        </w:tc>
      </w:tr>
      <w:tr w:rsidR="00AD7D88" w:rsidRPr="005871E7" w14:paraId="26753C2C" w14:textId="77777777" w:rsidTr="002C3392">
        <w:tc>
          <w:tcPr>
            <w:tcW w:w="0" w:type="auto"/>
          </w:tcPr>
          <w:p w14:paraId="6352599C"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No</w:t>
            </w:r>
          </w:p>
        </w:tc>
        <w:tc>
          <w:tcPr>
            <w:tcW w:w="0" w:type="auto"/>
          </w:tcPr>
          <w:p w14:paraId="694498C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4,258</w:t>
            </w:r>
          </w:p>
        </w:tc>
        <w:tc>
          <w:tcPr>
            <w:tcW w:w="0" w:type="auto"/>
          </w:tcPr>
          <w:p w14:paraId="07A6D63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60.2</w:t>
            </w:r>
          </w:p>
        </w:tc>
      </w:tr>
    </w:tbl>
    <w:p w14:paraId="7A923A4C" w14:textId="77777777" w:rsidR="00AD7D88" w:rsidRPr="005871E7" w:rsidRDefault="00AD7D88" w:rsidP="00AD7D88">
      <w:pPr>
        <w:pStyle w:val="BodyText"/>
        <w:spacing w:line="360" w:lineRule="auto"/>
        <w:jc w:val="both"/>
        <w:rPr>
          <w:rFonts w:ascii="Garamond" w:hAnsi="Garamond"/>
        </w:rPr>
      </w:pPr>
      <w:r w:rsidRPr="005871E7">
        <w:rPr>
          <w:rFonts w:ascii="Garamond" w:hAnsi="Garamond"/>
        </w:rPr>
        <w:t xml:space="preserve">We cannot ascertain </w:t>
      </w:r>
      <w:r w:rsidRPr="005871E7">
        <w:rPr>
          <w:rFonts w:ascii="Garamond" w:hAnsi="Garamond"/>
          <w:i/>
          <w:iCs/>
        </w:rPr>
        <w:t>“VAS Coverage During Last MNCHW Campaign” and “VAS Coverage During Integrated SMC+VAS Campaign”</w:t>
      </w:r>
      <w:r w:rsidRPr="005871E7">
        <w:rPr>
          <w:rFonts w:ascii="Garamond" w:hAnsi="Garamond"/>
        </w:rPr>
        <w:t xml:space="preserve"> as this was not captured during the baseline survey. VAS Coverage During Integrated SMC+VAS Campaign</w:t>
      </w:r>
    </w:p>
    <w:p w14:paraId="56D37F67" w14:textId="77777777" w:rsidR="00AD7D88" w:rsidRPr="005871E7" w:rsidRDefault="00AD7D88" w:rsidP="00AD7D88">
      <w:pPr>
        <w:pStyle w:val="Heading2"/>
        <w:spacing w:line="360" w:lineRule="auto"/>
        <w:jc w:val="both"/>
        <w:rPr>
          <w:rFonts w:ascii="Garamond" w:hAnsi="Garamond"/>
        </w:rPr>
      </w:pPr>
      <w:bookmarkStart w:id="24" w:name="main-source-of-vas"/>
      <w:bookmarkStart w:id="25" w:name="_Toc201569021"/>
      <w:bookmarkEnd w:id="22"/>
      <w:r w:rsidRPr="005871E7">
        <w:rPr>
          <w:rFonts w:ascii="Garamond" w:hAnsi="Garamond"/>
        </w:rPr>
        <w:lastRenderedPageBreak/>
        <w:t>3.4 Main Source of VAS</w:t>
      </w:r>
      <w:bookmarkEnd w:id="25"/>
    </w:p>
    <w:p w14:paraId="0ACB6DC2"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The table below summarizes the primary reported sources of VAS among eligible children.</w:t>
      </w:r>
    </w:p>
    <w:tbl>
      <w:tblPr>
        <w:tblStyle w:val="Table"/>
        <w:tblW w:w="5000" w:type="pct"/>
        <w:tblLayout w:type="fixed"/>
        <w:tblLook w:val="0020" w:firstRow="1" w:lastRow="0" w:firstColumn="0" w:lastColumn="0" w:noHBand="0" w:noVBand="0"/>
      </w:tblPr>
      <w:tblGrid>
        <w:gridCol w:w="6819"/>
        <w:gridCol w:w="871"/>
        <w:gridCol w:w="1886"/>
      </w:tblGrid>
      <w:tr w:rsidR="00AD7D88" w:rsidRPr="005871E7" w14:paraId="26C711F6"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5640" w:type="dxa"/>
          </w:tcPr>
          <w:p w14:paraId="393E6F10"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Main Source</w:t>
            </w:r>
          </w:p>
        </w:tc>
        <w:tc>
          <w:tcPr>
            <w:tcW w:w="720" w:type="dxa"/>
          </w:tcPr>
          <w:p w14:paraId="2B378C8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Frequency</w:t>
            </w:r>
          </w:p>
        </w:tc>
        <w:tc>
          <w:tcPr>
            <w:tcW w:w="1560" w:type="dxa"/>
          </w:tcPr>
          <w:p w14:paraId="0D162CF3"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Percent (%)</w:t>
            </w:r>
          </w:p>
        </w:tc>
      </w:tr>
      <w:tr w:rsidR="00AD7D88" w:rsidRPr="005871E7" w14:paraId="63857DE3" w14:textId="77777777" w:rsidTr="002C3392">
        <w:tc>
          <w:tcPr>
            <w:tcW w:w="5640" w:type="dxa"/>
          </w:tcPr>
          <w:p w14:paraId="3E08E03C"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At the health facility</w:t>
            </w:r>
          </w:p>
        </w:tc>
        <w:tc>
          <w:tcPr>
            <w:tcW w:w="720" w:type="dxa"/>
          </w:tcPr>
          <w:p w14:paraId="758F3DC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1,842</w:t>
            </w:r>
          </w:p>
        </w:tc>
        <w:tc>
          <w:tcPr>
            <w:tcW w:w="1560" w:type="dxa"/>
          </w:tcPr>
          <w:p w14:paraId="1341EF4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55.5</w:t>
            </w:r>
          </w:p>
        </w:tc>
      </w:tr>
      <w:tr w:rsidR="00AD7D88" w:rsidRPr="005871E7" w14:paraId="3C5873D4" w14:textId="77777777" w:rsidTr="002C3392">
        <w:tc>
          <w:tcPr>
            <w:tcW w:w="5640" w:type="dxa"/>
          </w:tcPr>
          <w:p w14:paraId="133B5A6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A Community Drug Distributor came to house</w:t>
            </w:r>
          </w:p>
        </w:tc>
        <w:tc>
          <w:tcPr>
            <w:tcW w:w="720" w:type="dxa"/>
          </w:tcPr>
          <w:p w14:paraId="67084C0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1,113</w:t>
            </w:r>
          </w:p>
        </w:tc>
        <w:tc>
          <w:tcPr>
            <w:tcW w:w="1560" w:type="dxa"/>
          </w:tcPr>
          <w:p w14:paraId="4459993C"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33.6</w:t>
            </w:r>
          </w:p>
        </w:tc>
      </w:tr>
      <w:tr w:rsidR="00AD7D88" w:rsidRPr="005871E7" w14:paraId="226B5833" w14:textId="77777777" w:rsidTr="002C3392">
        <w:tc>
          <w:tcPr>
            <w:tcW w:w="5640" w:type="dxa"/>
          </w:tcPr>
          <w:p w14:paraId="28606E7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MNCH week fixed outreach post</w:t>
            </w:r>
          </w:p>
        </w:tc>
        <w:tc>
          <w:tcPr>
            <w:tcW w:w="720" w:type="dxa"/>
          </w:tcPr>
          <w:p w14:paraId="167AE55C"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335</w:t>
            </w:r>
          </w:p>
        </w:tc>
        <w:tc>
          <w:tcPr>
            <w:tcW w:w="1560" w:type="dxa"/>
          </w:tcPr>
          <w:p w14:paraId="03BDC64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10.1</w:t>
            </w:r>
          </w:p>
        </w:tc>
      </w:tr>
      <w:tr w:rsidR="00AD7D88" w:rsidRPr="005871E7" w14:paraId="21D1CB88" w14:textId="77777777" w:rsidTr="002C3392">
        <w:tc>
          <w:tcPr>
            <w:tcW w:w="5640" w:type="dxa"/>
          </w:tcPr>
          <w:p w14:paraId="0B2352E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Other</w:t>
            </w:r>
          </w:p>
        </w:tc>
        <w:tc>
          <w:tcPr>
            <w:tcW w:w="720" w:type="dxa"/>
          </w:tcPr>
          <w:p w14:paraId="653122F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19</w:t>
            </w:r>
          </w:p>
        </w:tc>
        <w:tc>
          <w:tcPr>
            <w:tcW w:w="1560" w:type="dxa"/>
          </w:tcPr>
          <w:p w14:paraId="29183C66"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0.6</w:t>
            </w:r>
          </w:p>
        </w:tc>
      </w:tr>
      <w:tr w:rsidR="00AD7D88" w:rsidRPr="005871E7" w14:paraId="4269647D" w14:textId="77777777" w:rsidTr="002C3392">
        <w:tc>
          <w:tcPr>
            <w:tcW w:w="5640" w:type="dxa"/>
          </w:tcPr>
          <w:p w14:paraId="0879D5E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Others</w:t>
            </w:r>
          </w:p>
        </w:tc>
        <w:tc>
          <w:tcPr>
            <w:tcW w:w="720" w:type="dxa"/>
          </w:tcPr>
          <w:p w14:paraId="450FF348"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8</w:t>
            </w:r>
          </w:p>
        </w:tc>
        <w:tc>
          <w:tcPr>
            <w:tcW w:w="1560" w:type="dxa"/>
          </w:tcPr>
          <w:p w14:paraId="0FF4EE5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0.2</w:t>
            </w:r>
          </w:p>
        </w:tc>
      </w:tr>
    </w:tbl>
    <w:p w14:paraId="6040EF2B" w14:textId="77777777" w:rsidR="00AD7D88" w:rsidRPr="005871E7" w:rsidRDefault="00AD7D88" w:rsidP="00AD7D88">
      <w:pPr>
        <w:pStyle w:val="BodyText"/>
        <w:spacing w:line="360" w:lineRule="auto"/>
        <w:jc w:val="both"/>
        <w:rPr>
          <w:rFonts w:ascii="Garamond" w:hAnsi="Garamond"/>
        </w:rPr>
      </w:pPr>
      <w:r w:rsidRPr="005871E7">
        <w:rPr>
          <w:rFonts w:ascii="Garamond" w:hAnsi="Garamond"/>
        </w:rPr>
        <w:t>Over half (55.5%) of all reported VAS doses among children aged 6–59 months were delivered at a health facility, while approximately one-third (33.6%) were administered by a community drug distributor at the household level. Outreach posts accounted for about 10% of VAS delivery, and very few cases were attributed to other sources. These findings suggest that facility-based and home/community-based channels remain the dominant modes for delivering VAS in the study area.</w:t>
      </w:r>
    </w:p>
    <w:p w14:paraId="362423B5" w14:textId="77777777" w:rsidR="00AD7D88" w:rsidRPr="005871E7" w:rsidRDefault="00AD7D88" w:rsidP="00AD7D88">
      <w:pPr>
        <w:pStyle w:val="Heading2"/>
        <w:spacing w:line="360" w:lineRule="auto"/>
        <w:jc w:val="both"/>
        <w:rPr>
          <w:rFonts w:ascii="Garamond" w:hAnsi="Garamond"/>
        </w:rPr>
      </w:pPr>
      <w:bookmarkStart w:id="26" w:name="Xcb1f60681ce351a1c28643966bcd8ccfb68950b"/>
      <w:bookmarkStart w:id="27" w:name="_Toc201569022"/>
      <w:bookmarkEnd w:id="24"/>
      <w:r w:rsidRPr="005871E7">
        <w:rPr>
          <w:rFonts w:ascii="Garamond" w:hAnsi="Garamond"/>
        </w:rPr>
        <w:t>3.5 Number of VAS Doses Received in the Last 6 Months</w:t>
      </w:r>
      <w:bookmarkEnd w:id="27"/>
    </w:p>
    <w:p w14:paraId="237A9D7D"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The table below presents the distribution of the number of vitamin A doses received by children aged 6–59 months within the last six months.</w:t>
      </w:r>
    </w:p>
    <w:tbl>
      <w:tblPr>
        <w:tblStyle w:val="Table"/>
        <w:tblW w:w="0" w:type="auto"/>
        <w:tblLook w:val="0020" w:firstRow="1" w:lastRow="0" w:firstColumn="0" w:lastColumn="0" w:noHBand="0" w:noVBand="0"/>
      </w:tblPr>
      <w:tblGrid>
        <w:gridCol w:w="1909"/>
        <w:gridCol w:w="719"/>
        <w:gridCol w:w="1321"/>
        <w:gridCol w:w="1871"/>
      </w:tblGrid>
      <w:tr w:rsidR="00AD7D88" w:rsidRPr="005871E7" w14:paraId="51146C95"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0" w:type="auto"/>
          </w:tcPr>
          <w:p w14:paraId="31F889D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Number of Doses</w:t>
            </w:r>
          </w:p>
        </w:tc>
        <w:tc>
          <w:tcPr>
            <w:tcW w:w="0" w:type="auto"/>
          </w:tcPr>
          <w:p w14:paraId="26CDF21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w:t>
            </w:r>
          </w:p>
        </w:tc>
        <w:tc>
          <w:tcPr>
            <w:tcW w:w="0" w:type="auto"/>
          </w:tcPr>
          <w:p w14:paraId="45CD8AD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Percent (%)</w:t>
            </w:r>
          </w:p>
        </w:tc>
        <w:tc>
          <w:tcPr>
            <w:tcW w:w="0" w:type="auto"/>
          </w:tcPr>
          <w:p w14:paraId="79551BB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Valid Percent (%)</w:t>
            </w:r>
          </w:p>
        </w:tc>
      </w:tr>
      <w:tr w:rsidR="00AD7D88" w:rsidRPr="005871E7" w14:paraId="5C540FDA" w14:textId="77777777" w:rsidTr="002C3392">
        <w:tc>
          <w:tcPr>
            <w:tcW w:w="0" w:type="auto"/>
          </w:tcPr>
          <w:p w14:paraId="17965FC8"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w:t>
            </w:r>
          </w:p>
        </w:tc>
        <w:tc>
          <w:tcPr>
            <w:tcW w:w="0" w:type="auto"/>
          </w:tcPr>
          <w:p w14:paraId="7EE5325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2,373</w:t>
            </w:r>
          </w:p>
        </w:tc>
        <w:tc>
          <w:tcPr>
            <w:tcW w:w="0" w:type="auto"/>
          </w:tcPr>
          <w:p w14:paraId="39C9977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33.6</w:t>
            </w:r>
          </w:p>
        </w:tc>
        <w:tc>
          <w:tcPr>
            <w:tcW w:w="0" w:type="auto"/>
          </w:tcPr>
          <w:p w14:paraId="05C471F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84.3</w:t>
            </w:r>
          </w:p>
        </w:tc>
      </w:tr>
      <w:tr w:rsidR="00AD7D88" w:rsidRPr="005871E7" w14:paraId="2F765224" w14:textId="77777777" w:rsidTr="002C3392">
        <w:tc>
          <w:tcPr>
            <w:tcW w:w="0" w:type="auto"/>
          </w:tcPr>
          <w:p w14:paraId="1FF10E3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w:t>
            </w:r>
          </w:p>
        </w:tc>
        <w:tc>
          <w:tcPr>
            <w:tcW w:w="0" w:type="auto"/>
          </w:tcPr>
          <w:p w14:paraId="7DBB1CA8"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380</w:t>
            </w:r>
          </w:p>
        </w:tc>
        <w:tc>
          <w:tcPr>
            <w:tcW w:w="0" w:type="auto"/>
          </w:tcPr>
          <w:p w14:paraId="0E476094"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5.4</w:t>
            </w:r>
          </w:p>
        </w:tc>
        <w:tc>
          <w:tcPr>
            <w:tcW w:w="0" w:type="auto"/>
          </w:tcPr>
          <w:p w14:paraId="6350D7D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13.5</w:t>
            </w:r>
          </w:p>
        </w:tc>
      </w:tr>
      <w:tr w:rsidR="00AD7D88" w:rsidRPr="005871E7" w14:paraId="7B6BD5D0" w14:textId="77777777" w:rsidTr="002C3392">
        <w:tc>
          <w:tcPr>
            <w:tcW w:w="0" w:type="auto"/>
          </w:tcPr>
          <w:p w14:paraId="6939F788"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3</w:t>
            </w:r>
          </w:p>
        </w:tc>
        <w:tc>
          <w:tcPr>
            <w:tcW w:w="0" w:type="auto"/>
          </w:tcPr>
          <w:p w14:paraId="6FDA0F0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57</w:t>
            </w:r>
          </w:p>
        </w:tc>
        <w:tc>
          <w:tcPr>
            <w:tcW w:w="0" w:type="auto"/>
          </w:tcPr>
          <w:p w14:paraId="1B8015C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0.8</w:t>
            </w:r>
          </w:p>
        </w:tc>
        <w:tc>
          <w:tcPr>
            <w:tcW w:w="0" w:type="auto"/>
          </w:tcPr>
          <w:p w14:paraId="1BCF513A"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2.0</w:t>
            </w:r>
          </w:p>
        </w:tc>
      </w:tr>
      <w:tr w:rsidR="00AD7D88" w:rsidRPr="005871E7" w14:paraId="57924352" w14:textId="77777777" w:rsidTr="002C3392">
        <w:tc>
          <w:tcPr>
            <w:tcW w:w="0" w:type="auto"/>
          </w:tcPr>
          <w:p w14:paraId="72F69228"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w:t>
            </w:r>
          </w:p>
        </w:tc>
        <w:tc>
          <w:tcPr>
            <w:tcW w:w="0" w:type="auto"/>
          </w:tcPr>
          <w:p w14:paraId="785203A3"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w:t>
            </w:r>
          </w:p>
        </w:tc>
        <w:tc>
          <w:tcPr>
            <w:tcW w:w="0" w:type="auto"/>
          </w:tcPr>
          <w:p w14:paraId="7D626ED6"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0.1</w:t>
            </w:r>
          </w:p>
        </w:tc>
        <w:tc>
          <w:tcPr>
            <w:tcW w:w="0" w:type="auto"/>
          </w:tcPr>
          <w:p w14:paraId="4442F3DD"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0.2</w:t>
            </w:r>
          </w:p>
        </w:tc>
      </w:tr>
      <w:tr w:rsidR="00AD7D88" w:rsidRPr="005871E7" w14:paraId="343A8864" w14:textId="77777777" w:rsidTr="002C3392">
        <w:tc>
          <w:tcPr>
            <w:tcW w:w="0" w:type="auto"/>
          </w:tcPr>
          <w:p w14:paraId="212D790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NA (Missing)</w:t>
            </w:r>
          </w:p>
        </w:tc>
        <w:tc>
          <w:tcPr>
            <w:tcW w:w="0" w:type="auto"/>
          </w:tcPr>
          <w:p w14:paraId="6889E6E0"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4,258</w:t>
            </w:r>
          </w:p>
        </w:tc>
        <w:tc>
          <w:tcPr>
            <w:tcW w:w="0" w:type="auto"/>
          </w:tcPr>
          <w:p w14:paraId="0D6B0295"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60.2</w:t>
            </w:r>
          </w:p>
        </w:tc>
        <w:tc>
          <w:tcPr>
            <w:tcW w:w="0" w:type="auto"/>
          </w:tcPr>
          <w:p w14:paraId="5D4ED47C"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w:t>
            </w:r>
          </w:p>
        </w:tc>
      </w:tr>
    </w:tbl>
    <w:p w14:paraId="448F3B05" w14:textId="77777777" w:rsidR="00AD7D88" w:rsidRPr="005871E7" w:rsidRDefault="00AD7D88" w:rsidP="00AD7D88">
      <w:pPr>
        <w:pStyle w:val="BodyText"/>
        <w:spacing w:line="360" w:lineRule="auto"/>
        <w:jc w:val="both"/>
        <w:rPr>
          <w:rFonts w:ascii="Garamond" w:hAnsi="Garamond"/>
        </w:rPr>
      </w:pPr>
      <w:r w:rsidRPr="005871E7">
        <w:rPr>
          <w:rFonts w:ascii="Garamond" w:hAnsi="Garamond"/>
        </w:rPr>
        <w:t xml:space="preserve">Approximately one-third (33.6%) of children received one VAS dose in the last six months, while only 5.4% received two doses, and less than 1% received three or more doses. Notably, 60.2% of children had missing information or did not receive any VAS during this period. Among those who </w:t>
      </w:r>
      <w:r w:rsidRPr="005871E7">
        <w:rPr>
          <w:rFonts w:ascii="Garamond" w:hAnsi="Garamond"/>
        </w:rPr>
        <w:lastRenderedPageBreak/>
        <w:t>received at least one dose (valid responses), the majority (84.3%) had only one dose, and only a small fraction received multiple doses.</w:t>
      </w:r>
    </w:p>
    <w:p w14:paraId="45D80EB9" w14:textId="77777777" w:rsidR="00AD7D88" w:rsidRPr="005871E7" w:rsidRDefault="00AD7D88" w:rsidP="00AD7D88">
      <w:pPr>
        <w:pStyle w:val="Heading1"/>
        <w:spacing w:line="360" w:lineRule="auto"/>
        <w:jc w:val="both"/>
        <w:rPr>
          <w:rFonts w:ascii="Garamond" w:hAnsi="Garamond"/>
        </w:rPr>
      </w:pPr>
      <w:bookmarkStart w:id="28" w:name="X0f09cf3d16c39a88d9fcaf98d13df1864ec19e0"/>
      <w:bookmarkStart w:id="29" w:name="_Toc201569023"/>
      <w:bookmarkEnd w:id="20"/>
      <w:bookmarkEnd w:id="26"/>
      <w:r w:rsidRPr="005871E7">
        <w:rPr>
          <w:rFonts w:ascii="Garamond" w:hAnsi="Garamond"/>
        </w:rPr>
        <w:t>Objective 4: To Monitor the Coverage and Quality of SMC Following Integration with VAS</w:t>
      </w:r>
      <w:bookmarkEnd w:id="29"/>
    </w:p>
    <w:p w14:paraId="0CB9BC3B" w14:textId="77777777" w:rsidR="00AD7D88" w:rsidRPr="005871E7" w:rsidRDefault="00AD7D88" w:rsidP="00AD7D88">
      <w:pPr>
        <w:pStyle w:val="Heading2"/>
        <w:spacing w:line="360" w:lineRule="auto"/>
        <w:jc w:val="both"/>
        <w:rPr>
          <w:rFonts w:ascii="Garamond" w:hAnsi="Garamond"/>
        </w:rPr>
      </w:pPr>
      <w:bookmarkStart w:id="30" w:name="a.-smc-coverage-indicators"/>
      <w:bookmarkStart w:id="31" w:name="_Toc201569024"/>
      <w:r w:rsidRPr="005871E7">
        <w:rPr>
          <w:rFonts w:ascii="Garamond" w:hAnsi="Garamond"/>
        </w:rPr>
        <w:t>A. SMC Coverage Indicators</w:t>
      </w:r>
      <w:bookmarkEnd w:id="31"/>
    </w:p>
    <w:p w14:paraId="4C76E1EC" w14:textId="77777777" w:rsidR="00AD7D88" w:rsidRPr="005871E7" w:rsidRDefault="00AD7D88" w:rsidP="00AD7D88">
      <w:pPr>
        <w:pStyle w:val="Heading3"/>
        <w:spacing w:line="360" w:lineRule="auto"/>
        <w:jc w:val="both"/>
        <w:rPr>
          <w:rFonts w:ascii="Garamond" w:hAnsi="Garamond"/>
        </w:rPr>
      </w:pPr>
      <w:bookmarkStart w:id="32" w:name="X8338975533828cab0d275f402ba8b7f97cae23e"/>
      <w:r w:rsidRPr="005871E7">
        <w:rPr>
          <w:rFonts w:ascii="Garamond" w:hAnsi="Garamond"/>
        </w:rPr>
        <w:t xml:space="preserve">% of Eligible Children Who Received </w:t>
      </w:r>
      <w:proofErr w:type="gramStart"/>
      <w:r w:rsidRPr="005871E7">
        <w:rPr>
          <w:rFonts w:ascii="Garamond" w:hAnsi="Garamond"/>
        </w:rPr>
        <w:t>at Least</w:t>
      </w:r>
      <w:proofErr w:type="gramEnd"/>
      <w:r w:rsidRPr="005871E7">
        <w:rPr>
          <w:rFonts w:ascii="Garamond" w:hAnsi="Garamond"/>
        </w:rPr>
        <w:t xml:space="preserve"> One Dose of SMC (Day 1)</w:t>
      </w:r>
    </w:p>
    <w:p w14:paraId="07C6074F"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Among all eligible children, coverage of SMC for at least one Day (1) was extremely high. Specifically, 97.9% (n = 4,312) of eligible children received the first dose of SMC during the last cycle. Only a small proportion (2.1%, n = 92) had missing information or did not receive the dose.</w:t>
      </w:r>
    </w:p>
    <w:p w14:paraId="53131CBE" w14:textId="77777777" w:rsidR="00AD7D88" w:rsidRPr="005871E7" w:rsidRDefault="00AD7D88" w:rsidP="00AD7D88">
      <w:pPr>
        <w:pStyle w:val="Heading3"/>
        <w:spacing w:line="360" w:lineRule="auto"/>
        <w:jc w:val="both"/>
        <w:rPr>
          <w:rFonts w:ascii="Garamond" w:hAnsi="Garamond"/>
        </w:rPr>
      </w:pPr>
      <w:bookmarkStart w:id="33" w:name="X3bb1a8c6588225afeceeacd505525ab76f4a41b"/>
      <w:bookmarkEnd w:id="32"/>
      <w:r w:rsidRPr="005871E7">
        <w:rPr>
          <w:rFonts w:ascii="Garamond" w:hAnsi="Garamond"/>
        </w:rPr>
        <w:t>% Who Received SMC Under Direct Observation by CDDs</w:t>
      </w:r>
    </w:p>
    <w:p w14:paraId="1F4283F6"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 xml:space="preserve">No data </w:t>
      </w:r>
      <w:proofErr w:type="gramStart"/>
      <w:r w:rsidRPr="005871E7">
        <w:rPr>
          <w:rFonts w:ascii="Garamond" w:hAnsi="Garamond"/>
        </w:rPr>
        <w:t>were</w:t>
      </w:r>
      <w:proofErr w:type="gramEnd"/>
      <w:r w:rsidRPr="005871E7">
        <w:rPr>
          <w:rFonts w:ascii="Garamond" w:hAnsi="Garamond"/>
        </w:rPr>
        <w:t xml:space="preserve"> available to assess the proportion of children who received SMC under direct observation by community drug distributors (CDDs).</w:t>
      </w:r>
    </w:p>
    <w:p w14:paraId="55CD2D29" w14:textId="77777777" w:rsidR="00AD7D88" w:rsidRPr="005871E7" w:rsidRDefault="00AD7D88" w:rsidP="00AD7D88">
      <w:pPr>
        <w:pStyle w:val="Heading2"/>
        <w:spacing w:line="360" w:lineRule="auto"/>
        <w:jc w:val="both"/>
        <w:rPr>
          <w:rFonts w:ascii="Garamond" w:hAnsi="Garamond"/>
        </w:rPr>
      </w:pPr>
      <w:bookmarkStart w:id="34" w:name="smc-quality-indicators"/>
      <w:bookmarkStart w:id="35" w:name="_Toc201569025"/>
      <w:bookmarkEnd w:id="30"/>
      <w:bookmarkEnd w:id="33"/>
      <w:r w:rsidRPr="005871E7">
        <w:rPr>
          <w:rFonts w:ascii="Garamond" w:hAnsi="Garamond"/>
        </w:rPr>
        <w:t>SMC Quality Indicators</w:t>
      </w:r>
      <w:bookmarkEnd w:id="35"/>
    </w:p>
    <w:p w14:paraId="3B4A71F6" w14:textId="77777777" w:rsidR="00AD7D88" w:rsidRPr="005871E7" w:rsidRDefault="00AD7D88" w:rsidP="00AD7D88">
      <w:pPr>
        <w:pStyle w:val="Heading3"/>
        <w:spacing w:line="360" w:lineRule="auto"/>
        <w:jc w:val="both"/>
        <w:rPr>
          <w:rFonts w:ascii="Garamond" w:hAnsi="Garamond"/>
        </w:rPr>
      </w:pPr>
      <w:bookmarkStart w:id="36" w:name="X145cbb839af5a24284995737bbd80724c8de327"/>
      <w:r w:rsidRPr="005871E7">
        <w:rPr>
          <w:rFonts w:ascii="Garamond" w:hAnsi="Garamond"/>
        </w:rPr>
        <w:t>% Reporting Adverse Events Following SMC and/or VAS</w:t>
      </w:r>
    </w:p>
    <w:p w14:paraId="3202ABB5"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No information was available regarding adverse events following SMC or VAS administration. Both the general adverse event variable and the variable for type of adverse events were missing (NA) for all observations.</w:t>
      </w:r>
    </w:p>
    <w:p w14:paraId="2B820138" w14:textId="77777777" w:rsidR="00AD7D88" w:rsidRPr="005871E7" w:rsidRDefault="00AD7D88" w:rsidP="00AD7D88">
      <w:pPr>
        <w:pStyle w:val="Heading3"/>
        <w:spacing w:line="360" w:lineRule="auto"/>
        <w:jc w:val="both"/>
        <w:rPr>
          <w:rFonts w:ascii="Garamond" w:hAnsi="Garamond"/>
        </w:rPr>
      </w:pPr>
      <w:bookmarkStart w:id="37" w:name="X1751bf1dcf0457b0d792308a40638893237ffb6"/>
      <w:bookmarkEnd w:id="36"/>
      <w:r w:rsidRPr="005871E7">
        <w:rPr>
          <w:rFonts w:ascii="Garamond" w:hAnsi="Garamond"/>
        </w:rPr>
        <w:t>% of Children Who Completed All SMC Doses (Days 1, 2, 3)</w:t>
      </w:r>
    </w:p>
    <w:p w14:paraId="3575793E"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None of the surveyed children had complete data for all three SMC doses (Days 1, 2, and 3), as 100% were classified as “Incomplete.”</w:t>
      </w:r>
    </w:p>
    <w:p w14:paraId="76B90654" w14:textId="77777777" w:rsidR="00AD7D88" w:rsidRPr="005871E7" w:rsidRDefault="00AD7D88" w:rsidP="00AD7D88">
      <w:pPr>
        <w:pStyle w:val="Heading3"/>
        <w:spacing w:line="360" w:lineRule="auto"/>
        <w:jc w:val="both"/>
        <w:rPr>
          <w:rFonts w:ascii="Garamond" w:hAnsi="Garamond"/>
        </w:rPr>
      </w:pPr>
      <w:bookmarkStart w:id="38" w:name="X0bd1f4cfb72e8a4dc8a6d445d36c62b551713cf"/>
      <w:bookmarkEnd w:id="37"/>
      <w:r w:rsidRPr="005871E7">
        <w:rPr>
          <w:rFonts w:ascii="Garamond" w:hAnsi="Garamond"/>
        </w:rPr>
        <w:lastRenderedPageBreak/>
        <w:t>% of Households Reporting Satisfaction with SMC+VAS Delivery</w:t>
      </w:r>
    </w:p>
    <w:p w14:paraId="3334B74F" w14:textId="64B94B2B" w:rsidR="00AD7D88" w:rsidRPr="005871E7" w:rsidRDefault="00AD7D88" w:rsidP="00AD7D88">
      <w:pPr>
        <w:pStyle w:val="FirstParagraph"/>
        <w:spacing w:line="360" w:lineRule="auto"/>
        <w:jc w:val="both"/>
        <w:rPr>
          <w:rFonts w:ascii="Garamond" w:hAnsi="Garamond"/>
        </w:rPr>
      </w:pPr>
      <w:r w:rsidRPr="005871E7">
        <w:rPr>
          <w:rFonts w:ascii="Garamond" w:hAnsi="Garamond"/>
        </w:rPr>
        <w:t xml:space="preserve">Caregiver satisfaction was relatively high among those who responded, with 97.8% (n = 1,859) expressing satisfaction with the delivery of services. Only 2.2% (n = 41) were dissatisfied. However, it is notable that this information was missing for 76.4% (n = 6,164) of </w:t>
      </w:r>
      <w:r w:rsidRPr="005871E7">
        <w:rPr>
          <w:rFonts w:ascii="Garamond" w:hAnsi="Garamond"/>
        </w:rPr>
        <w:t>households surveyed</w:t>
      </w:r>
      <w:r w:rsidRPr="005871E7">
        <w:rPr>
          <w:rFonts w:ascii="Garamond" w:hAnsi="Garamond"/>
        </w:rPr>
        <w:t>.</w:t>
      </w:r>
    </w:p>
    <w:p w14:paraId="08690FAB" w14:textId="77777777" w:rsidR="00AD7D88" w:rsidRPr="005871E7" w:rsidRDefault="00AD7D88" w:rsidP="00AD7D88">
      <w:pPr>
        <w:pStyle w:val="Heading3"/>
        <w:spacing w:line="360" w:lineRule="auto"/>
        <w:jc w:val="both"/>
        <w:rPr>
          <w:rFonts w:ascii="Garamond" w:hAnsi="Garamond"/>
        </w:rPr>
      </w:pPr>
      <w:bookmarkStart w:id="39" w:name="Xde4ae41c4673e92a185c03dcd63a833a824675d"/>
      <w:bookmarkEnd w:id="38"/>
      <w:r w:rsidRPr="005871E7">
        <w:rPr>
          <w:rFonts w:ascii="Garamond" w:hAnsi="Garamond"/>
        </w:rPr>
        <w:t>% of Children with SMC/VAS Documentation (Health Card, Sticker, etc.)</w:t>
      </w:r>
    </w:p>
    <w:p w14:paraId="418ACEEA" w14:textId="77777777" w:rsidR="00AD7D88" w:rsidRPr="005871E7" w:rsidRDefault="00AD7D88" w:rsidP="00AD7D88">
      <w:pPr>
        <w:pStyle w:val="FirstParagraph"/>
        <w:spacing w:line="360" w:lineRule="auto"/>
        <w:jc w:val="both"/>
        <w:rPr>
          <w:rFonts w:ascii="Garamond" w:hAnsi="Garamond"/>
        </w:rPr>
      </w:pPr>
      <w:r w:rsidRPr="005871E7">
        <w:rPr>
          <w:rFonts w:ascii="Garamond" w:hAnsi="Garamond"/>
        </w:rPr>
        <w:t xml:space="preserve">Over half of the children (52.9%, n = 4,263) had a child health </w:t>
      </w:r>
      <w:proofErr w:type="spellStart"/>
      <w:r w:rsidRPr="005871E7">
        <w:rPr>
          <w:rFonts w:ascii="Garamond" w:hAnsi="Garamond"/>
        </w:rPr>
        <w:t>card</w:t>
      </w:r>
      <w:proofErr w:type="spellEnd"/>
      <w:r w:rsidRPr="005871E7">
        <w:rPr>
          <w:rFonts w:ascii="Garamond" w:hAnsi="Garamond"/>
        </w:rPr>
        <w:t xml:space="preserve"> available, while 47.1% (n = 3,801) did not. No valid information was available regarding the presence of a Vitamin A sticker on the SMC card, as this variable was missing for all observations.</w:t>
      </w:r>
    </w:p>
    <w:p w14:paraId="0530BEE7" w14:textId="77777777" w:rsidR="00AD7D88" w:rsidRPr="005871E7" w:rsidRDefault="00AD7D88" w:rsidP="00AD7D88">
      <w:pPr>
        <w:pStyle w:val="Heading4"/>
        <w:spacing w:line="360" w:lineRule="auto"/>
        <w:jc w:val="both"/>
        <w:rPr>
          <w:rFonts w:ascii="Garamond" w:hAnsi="Garamond"/>
        </w:rPr>
      </w:pPr>
      <w:bookmarkStart w:id="40" w:name="summary-table"/>
      <w:r w:rsidRPr="005871E7">
        <w:rPr>
          <w:rFonts w:ascii="Garamond" w:hAnsi="Garamond"/>
        </w:rPr>
        <w:t>Summary Table</w:t>
      </w:r>
    </w:p>
    <w:tbl>
      <w:tblPr>
        <w:tblStyle w:val="Table"/>
        <w:tblW w:w="5000" w:type="pct"/>
        <w:tblLayout w:type="fixed"/>
        <w:tblLook w:val="0020" w:firstRow="1" w:lastRow="0" w:firstColumn="0" w:lastColumn="0" w:noHBand="0" w:noVBand="0"/>
      </w:tblPr>
      <w:tblGrid>
        <w:gridCol w:w="6478"/>
        <w:gridCol w:w="1549"/>
        <w:gridCol w:w="1549"/>
      </w:tblGrid>
      <w:tr w:rsidR="00AD7D88" w:rsidRPr="005871E7" w14:paraId="2E032F44" w14:textId="77777777" w:rsidTr="002C3392">
        <w:trPr>
          <w:cnfStyle w:val="100000000000" w:firstRow="1" w:lastRow="0" w:firstColumn="0" w:lastColumn="0" w:oddVBand="0" w:evenVBand="0" w:oddHBand="0" w:evenHBand="0" w:firstRowFirstColumn="0" w:firstRowLastColumn="0" w:lastRowFirstColumn="0" w:lastRowLastColumn="0"/>
          <w:tblHeader/>
        </w:trPr>
        <w:tc>
          <w:tcPr>
            <w:tcW w:w="5357" w:type="dxa"/>
          </w:tcPr>
          <w:p w14:paraId="3A1859D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Indicator</w:t>
            </w:r>
          </w:p>
        </w:tc>
        <w:tc>
          <w:tcPr>
            <w:tcW w:w="1281" w:type="dxa"/>
          </w:tcPr>
          <w:p w14:paraId="533C6B18"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Yes (%)</w:t>
            </w:r>
          </w:p>
        </w:tc>
        <w:tc>
          <w:tcPr>
            <w:tcW w:w="1281" w:type="dxa"/>
          </w:tcPr>
          <w:p w14:paraId="4FE5629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No (%)</w:t>
            </w:r>
          </w:p>
        </w:tc>
      </w:tr>
      <w:tr w:rsidR="00AD7D88" w:rsidRPr="005871E7" w14:paraId="2D6CCE28" w14:textId="77777777" w:rsidTr="002C3392">
        <w:tc>
          <w:tcPr>
            <w:tcW w:w="5357" w:type="dxa"/>
          </w:tcPr>
          <w:p w14:paraId="4B390E55"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SMC coverage (at least 1 dose, eligible children)</w:t>
            </w:r>
          </w:p>
        </w:tc>
        <w:tc>
          <w:tcPr>
            <w:tcW w:w="1281" w:type="dxa"/>
          </w:tcPr>
          <w:p w14:paraId="66E7A96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97.9</w:t>
            </w:r>
          </w:p>
        </w:tc>
        <w:tc>
          <w:tcPr>
            <w:tcW w:w="1281" w:type="dxa"/>
          </w:tcPr>
          <w:p w14:paraId="605B6634"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w:t>
            </w:r>
          </w:p>
        </w:tc>
      </w:tr>
      <w:tr w:rsidR="00AD7D88" w:rsidRPr="005871E7" w14:paraId="28CF5F6C" w14:textId="77777777" w:rsidTr="002C3392">
        <w:tc>
          <w:tcPr>
            <w:tcW w:w="5357" w:type="dxa"/>
          </w:tcPr>
          <w:p w14:paraId="422D9246"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Direct observation by CDDs</w:t>
            </w:r>
          </w:p>
        </w:tc>
        <w:tc>
          <w:tcPr>
            <w:tcW w:w="1281" w:type="dxa"/>
          </w:tcPr>
          <w:p w14:paraId="695154A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NA</w:t>
            </w:r>
          </w:p>
        </w:tc>
        <w:tc>
          <w:tcPr>
            <w:tcW w:w="1281" w:type="dxa"/>
          </w:tcPr>
          <w:p w14:paraId="702A7B76"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NA</w:t>
            </w:r>
          </w:p>
        </w:tc>
      </w:tr>
      <w:tr w:rsidR="00AD7D88" w:rsidRPr="005871E7" w14:paraId="5654CE3D" w14:textId="77777777" w:rsidTr="002C3392">
        <w:tc>
          <w:tcPr>
            <w:tcW w:w="5357" w:type="dxa"/>
          </w:tcPr>
          <w:p w14:paraId="368C67F5"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Adverse events reported</w:t>
            </w:r>
          </w:p>
        </w:tc>
        <w:tc>
          <w:tcPr>
            <w:tcW w:w="1281" w:type="dxa"/>
          </w:tcPr>
          <w:p w14:paraId="437D04E9"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NA</w:t>
            </w:r>
          </w:p>
        </w:tc>
        <w:tc>
          <w:tcPr>
            <w:tcW w:w="1281" w:type="dxa"/>
          </w:tcPr>
          <w:p w14:paraId="2E322F7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NA</w:t>
            </w:r>
          </w:p>
        </w:tc>
      </w:tr>
      <w:tr w:rsidR="00AD7D88" w:rsidRPr="005871E7" w14:paraId="73ADF307" w14:textId="77777777" w:rsidTr="002C3392">
        <w:tc>
          <w:tcPr>
            <w:tcW w:w="5357" w:type="dxa"/>
          </w:tcPr>
          <w:p w14:paraId="0E78CF5B"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Completed all SMC doses (Days 1–3)</w:t>
            </w:r>
          </w:p>
        </w:tc>
        <w:tc>
          <w:tcPr>
            <w:tcW w:w="1281" w:type="dxa"/>
          </w:tcPr>
          <w:p w14:paraId="4BB79DB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0.0</w:t>
            </w:r>
          </w:p>
        </w:tc>
        <w:tc>
          <w:tcPr>
            <w:tcW w:w="1281" w:type="dxa"/>
          </w:tcPr>
          <w:p w14:paraId="5E295BA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100.0</w:t>
            </w:r>
          </w:p>
        </w:tc>
      </w:tr>
      <w:tr w:rsidR="00AD7D88" w:rsidRPr="005871E7" w14:paraId="13C2F9F0" w14:textId="77777777" w:rsidTr="002C3392">
        <w:tc>
          <w:tcPr>
            <w:tcW w:w="5357" w:type="dxa"/>
          </w:tcPr>
          <w:p w14:paraId="735139D1"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Caregiver satisfied with SMC+VAS delivery</w:t>
            </w:r>
          </w:p>
        </w:tc>
        <w:tc>
          <w:tcPr>
            <w:tcW w:w="1281" w:type="dxa"/>
          </w:tcPr>
          <w:p w14:paraId="0E2404E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97.8</w:t>
            </w:r>
          </w:p>
        </w:tc>
        <w:tc>
          <w:tcPr>
            <w:tcW w:w="1281" w:type="dxa"/>
          </w:tcPr>
          <w:p w14:paraId="16DC129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2.2</w:t>
            </w:r>
          </w:p>
        </w:tc>
      </w:tr>
      <w:tr w:rsidR="00AD7D88" w:rsidRPr="005871E7" w14:paraId="2F3F48D1" w14:textId="77777777" w:rsidTr="002C3392">
        <w:tc>
          <w:tcPr>
            <w:tcW w:w="5357" w:type="dxa"/>
          </w:tcPr>
          <w:p w14:paraId="39FB2B0E"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Child has health card</w:t>
            </w:r>
          </w:p>
        </w:tc>
        <w:tc>
          <w:tcPr>
            <w:tcW w:w="1281" w:type="dxa"/>
          </w:tcPr>
          <w:p w14:paraId="73AF7AC5"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52.9</w:t>
            </w:r>
          </w:p>
        </w:tc>
        <w:tc>
          <w:tcPr>
            <w:tcW w:w="1281" w:type="dxa"/>
          </w:tcPr>
          <w:p w14:paraId="2E05CABC"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47.1</w:t>
            </w:r>
          </w:p>
        </w:tc>
      </w:tr>
      <w:tr w:rsidR="00AD7D88" w:rsidRPr="005871E7" w14:paraId="413EC008" w14:textId="77777777" w:rsidTr="002C3392">
        <w:tc>
          <w:tcPr>
            <w:tcW w:w="5357" w:type="dxa"/>
          </w:tcPr>
          <w:p w14:paraId="29D94E72"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Vitamin A sticker on SMC card</w:t>
            </w:r>
          </w:p>
        </w:tc>
        <w:tc>
          <w:tcPr>
            <w:tcW w:w="1281" w:type="dxa"/>
          </w:tcPr>
          <w:p w14:paraId="10A3410F"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NA</w:t>
            </w:r>
          </w:p>
        </w:tc>
        <w:tc>
          <w:tcPr>
            <w:tcW w:w="1281" w:type="dxa"/>
          </w:tcPr>
          <w:p w14:paraId="6203A787" w14:textId="77777777" w:rsidR="00AD7D88" w:rsidRPr="005871E7" w:rsidRDefault="00AD7D88" w:rsidP="002C3392">
            <w:pPr>
              <w:pStyle w:val="Compact"/>
              <w:spacing w:line="360" w:lineRule="auto"/>
              <w:jc w:val="both"/>
              <w:rPr>
                <w:rFonts w:ascii="Garamond" w:hAnsi="Garamond"/>
              </w:rPr>
            </w:pPr>
            <w:r w:rsidRPr="005871E7">
              <w:rPr>
                <w:rFonts w:ascii="Garamond" w:hAnsi="Garamond"/>
              </w:rPr>
              <w:t>NA</w:t>
            </w:r>
          </w:p>
        </w:tc>
      </w:tr>
      <w:bookmarkEnd w:id="28"/>
      <w:bookmarkEnd w:id="34"/>
      <w:bookmarkEnd w:id="39"/>
      <w:bookmarkEnd w:id="40"/>
    </w:tbl>
    <w:p w14:paraId="1F59D284" w14:textId="77777777" w:rsidR="00AD7D88" w:rsidRPr="005871E7" w:rsidRDefault="00AD7D88" w:rsidP="00AD7D88">
      <w:pPr>
        <w:spacing w:line="360" w:lineRule="auto"/>
        <w:jc w:val="both"/>
        <w:rPr>
          <w:rFonts w:ascii="Garamond" w:hAnsi="Garamond"/>
        </w:rPr>
      </w:pPr>
    </w:p>
    <w:p w14:paraId="5D641A80" w14:textId="77777777" w:rsidR="00AD7D88" w:rsidRPr="00100F11" w:rsidRDefault="00AD7D88" w:rsidP="00100F11">
      <w:pPr>
        <w:pStyle w:val="BodyText"/>
        <w:spacing w:line="360" w:lineRule="auto"/>
        <w:jc w:val="both"/>
        <w:rPr>
          <w:rFonts w:ascii="Garamond" w:hAnsi="Garamond"/>
          <w:lang w:val="en-GB"/>
        </w:rPr>
      </w:pPr>
    </w:p>
    <w:p w14:paraId="413DAA4E" w14:textId="77777777" w:rsidR="00100F11" w:rsidRPr="00100F11" w:rsidRDefault="00100F11" w:rsidP="00100F11">
      <w:pPr>
        <w:pStyle w:val="BodyText"/>
        <w:spacing w:line="360" w:lineRule="auto"/>
        <w:jc w:val="both"/>
        <w:rPr>
          <w:rFonts w:ascii="Garamond" w:hAnsi="Garamond"/>
          <w:lang w:val="en-GB"/>
        </w:rPr>
      </w:pPr>
      <w:r w:rsidRPr="00100F11">
        <w:rPr>
          <w:rFonts w:ascii="Garamond" w:hAnsi="Garamond"/>
          <w:lang w:val="en-GB"/>
        </w:rPr>
        <w:pict w14:anchorId="12FE75B7">
          <v:rect id="_x0000_i1168" style="width:0;height:1.5pt" o:hralign="center" o:hrstd="t" o:hr="t" fillcolor="#a0a0a0" stroked="f"/>
        </w:pict>
      </w:r>
    </w:p>
    <w:p w14:paraId="75BB44E7" w14:textId="77777777" w:rsidR="00100F11" w:rsidRPr="00100F11" w:rsidRDefault="00100F11" w:rsidP="00100F11">
      <w:pPr>
        <w:pStyle w:val="BodyText"/>
        <w:spacing w:line="360" w:lineRule="auto"/>
        <w:jc w:val="both"/>
        <w:rPr>
          <w:rFonts w:ascii="Garamond" w:hAnsi="Garamond"/>
          <w:b/>
          <w:bCs/>
          <w:lang w:val="en-GB"/>
        </w:rPr>
      </w:pPr>
      <w:r w:rsidRPr="00100F11">
        <w:rPr>
          <w:rFonts w:ascii="Garamond" w:hAnsi="Garamond"/>
          <w:b/>
          <w:bCs/>
          <w:lang w:val="en-GB"/>
        </w:rPr>
        <w:t>Objective 3: To determine the coverage of vitamin A following integration with SMC</w:t>
      </w:r>
    </w:p>
    <w:p w14:paraId="2C4F5891" w14:textId="77777777" w:rsidR="00100F11" w:rsidRPr="00100F11" w:rsidRDefault="00100F11" w:rsidP="00100F11">
      <w:pPr>
        <w:pStyle w:val="BodyText"/>
        <w:spacing w:line="360" w:lineRule="auto"/>
        <w:jc w:val="both"/>
        <w:rPr>
          <w:rFonts w:ascii="Garamond" w:hAnsi="Garamond"/>
          <w:b/>
          <w:bCs/>
          <w:lang w:val="en-GB"/>
        </w:rPr>
      </w:pPr>
      <w:r w:rsidRPr="00100F11">
        <w:rPr>
          <w:rFonts w:ascii="Garamond" w:hAnsi="Garamond"/>
          <w:b/>
          <w:bCs/>
          <w:lang w:val="en-GB"/>
        </w:rPr>
        <w:t>5.3.1 VAS Coverage Among Children Aged 6–59 Months</w:t>
      </w:r>
    </w:p>
    <w:p w14:paraId="7B0575E2" w14:textId="77777777" w:rsidR="00100F11" w:rsidRPr="00100F11" w:rsidRDefault="00100F11" w:rsidP="00100F11">
      <w:pPr>
        <w:pStyle w:val="BodyText"/>
        <w:numPr>
          <w:ilvl w:val="0"/>
          <w:numId w:val="14"/>
        </w:numPr>
        <w:spacing w:line="360" w:lineRule="auto"/>
        <w:jc w:val="both"/>
        <w:rPr>
          <w:rFonts w:ascii="Garamond" w:hAnsi="Garamond"/>
          <w:lang w:val="en-GB"/>
        </w:rPr>
      </w:pPr>
      <w:r w:rsidRPr="00100F11">
        <w:rPr>
          <w:rFonts w:ascii="Garamond" w:hAnsi="Garamond"/>
          <w:b/>
          <w:bCs/>
          <w:lang w:val="en-GB"/>
        </w:rPr>
        <w:t>Overall Coverage (Any Source):</w:t>
      </w:r>
      <w:r w:rsidRPr="00100F11">
        <w:rPr>
          <w:rFonts w:ascii="Garamond" w:hAnsi="Garamond"/>
          <w:lang w:val="en-GB"/>
        </w:rPr>
        <w:t xml:space="preserve"> </w:t>
      </w:r>
      <w:r w:rsidRPr="00100F11">
        <w:rPr>
          <w:rFonts w:ascii="Garamond" w:hAnsi="Garamond"/>
          <w:b/>
          <w:bCs/>
          <w:lang w:val="en-GB"/>
        </w:rPr>
        <w:t>39.8%</w:t>
      </w:r>
      <w:r w:rsidRPr="00100F11">
        <w:rPr>
          <w:rFonts w:ascii="Garamond" w:hAnsi="Garamond"/>
          <w:lang w:val="en-GB"/>
        </w:rPr>
        <w:t xml:space="preserve"> of children reportedly received Vitamin A in the past 6 months.</w:t>
      </w:r>
    </w:p>
    <w:p w14:paraId="1B885CAF" w14:textId="77777777" w:rsidR="00100F11" w:rsidRPr="00100F11" w:rsidRDefault="00100F11" w:rsidP="00100F11">
      <w:pPr>
        <w:pStyle w:val="BodyText"/>
        <w:numPr>
          <w:ilvl w:val="0"/>
          <w:numId w:val="14"/>
        </w:numPr>
        <w:spacing w:line="360" w:lineRule="auto"/>
        <w:jc w:val="both"/>
        <w:rPr>
          <w:rFonts w:ascii="Garamond" w:hAnsi="Garamond"/>
          <w:lang w:val="en-GB"/>
        </w:rPr>
      </w:pPr>
      <w:r w:rsidRPr="00100F11">
        <w:rPr>
          <w:rFonts w:ascii="Garamond" w:hAnsi="Garamond"/>
          <w:b/>
          <w:bCs/>
          <w:lang w:val="en-GB"/>
        </w:rPr>
        <w:lastRenderedPageBreak/>
        <w:t>Coverage During MNCHW Campaign:</w:t>
      </w:r>
      <w:r w:rsidRPr="00100F11">
        <w:rPr>
          <w:rFonts w:ascii="Garamond" w:hAnsi="Garamond"/>
          <w:lang w:val="en-GB"/>
        </w:rPr>
        <w:t xml:space="preserve"> A substantial proportion of Vitamin A was delivered through health facilities and MNCHW outreaches.</w:t>
      </w:r>
    </w:p>
    <w:p w14:paraId="59586988" w14:textId="77777777" w:rsidR="00100F11" w:rsidRPr="00100F11" w:rsidRDefault="00100F11" w:rsidP="00100F11">
      <w:pPr>
        <w:pStyle w:val="BodyText"/>
        <w:numPr>
          <w:ilvl w:val="0"/>
          <w:numId w:val="14"/>
        </w:numPr>
        <w:spacing w:line="360" w:lineRule="auto"/>
        <w:jc w:val="both"/>
        <w:rPr>
          <w:rFonts w:ascii="Garamond" w:hAnsi="Garamond"/>
          <w:lang w:val="en-GB"/>
        </w:rPr>
      </w:pPr>
      <w:r w:rsidRPr="00100F11">
        <w:rPr>
          <w:rFonts w:ascii="Garamond" w:hAnsi="Garamond"/>
          <w:b/>
          <w:bCs/>
          <w:lang w:val="en-GB"/>
        </w:rPr>
        <w:t>Coverage During Integrated SMC Campaign:</w:t>
      </w:r>
      <w:r w:rsidRPr="00100F11">
        <w:rPr>
          <w:rFonts w:ascii="Garamond" w:hAnsi="Garamond"/>
          <w:lang w:val="en-GB"/>
        </w:rPr>
        <w:t xml:space="preserve"> </w:t>
      </w:r>
      <w:r w:rsidRPr="00100F11">
        <w:rPr>
          <w:rFonts w:ascii="Garamond" w:hAnsi="Garamond"/>
          <w:b/>
          <w:bCs/>
          <w:lang w:val="en-GB"/>
        </w:rPr>
        <w:t>33.6%</w:t>
      </w:r>
      <w:r w:rsidRPr="00100F11">
        <w:rPr>
          <w:rFonts w:ascii="Garamond" w:hAnsi="Garamond"/>
          <w:lang w:val="en-GB"/>
        </w:rPr>
        <w:t xml:space="preserve"> of children received VAS at home via community drug distributors (CDDs) during the integrated campaign.</w:t>
      </w:r>
    </w:p>
    <w:p w14:paraId="2FD57CF2" w14:textId="77777777" w:rsidR="00100F11" w:rsidRPr="00100F11" w:rsidRDefault="00100F11" w:rsidP="00100F11">
      <w:pPr>
        <w:pStyle w:val="BodyText"/>
        <w:spacing w:line="360" w:lineRule="auto"/>
        <w:jc w:val="both"/>
        <w:rPr>
          <w:rFonts w:ascii="Garamond" w:hAnsi="Garamond"/>
          <w:b/>
          <w:bCs/>
          <w:lang w:val="en-GB"/>
        </w:rPr>
      </w:pPr>
      <w:r w:rsidRPr="00100F11">
        <w:rPr>
          <w:rFonts w:ascii="Garamond" w:hAnsi="Garamond"/>
          <w:b/>
          <w:bCs/>
          <w:lang w:val="en-GB"/>
        </w:rPr>
        <w:t>5.3.2 Number of Doses</w:t>
      </w:r>
    </w:p>
    <w:p w14:paraId="2C271107" w14:textId="77777777" w:rsidR="00100F11" w:rsidRPr="00100F11" w:rsidRDefault="00100F11" w:rsidP="00100F11">
      <w:pPr>
        <w:pStyle w:val="BodyText"/>
        <w:spacing w:line="360" w:lineRule="auto"/>
        <w:jc w:val="both"/>
        <w:rPr>
          <w:rFonts w:ascii="Garamond" w:hAnsi="Garamond"/>
          <w:lang w:val="en-GB"/>
        </w:rPr>
      </w:pPr>
      <w:r w:rsidRPr="00100F11">
        <w:rPr>
          <w:rFonts w:ascii="Garamond" w:hAnsi="Garamond"/>
          <w:lang w:val="en-GB"/>
        </w:rPr>
        <w:t xml:space="preserve">While </w:t>
      </w:r>
      <w:proofErr w:type="gramStart"/>
      <w:r w:rsidRPr="00100F11">
        <w:rPr>
          <w:rFonts w:ascii="Garamond" w:hAnsi="Garamond"/>
          <w:lang w:val="en-GB"/>
        </w:rPr>
        <w:t>the majority of</w:t>
      </w:r>
      <w:proofErr w:type="gramEnd"/>
      <w:r w:rsidRPr="00100F11">
        <w:rPr>
          <w:rFonts w:ascii="Garamond" w:hAnsi="Garamond"/>
          <w:lang w:val="en-GB"/>
        </w:rPr>
        <w:t xml:space="preserve"> children had received </w:t>
      </w:r>
      <w:r w:rsidRPr="00100F11">
        <w:rPr>
          <w:rFonts w:ascii="Garamond" w:hAnsi="Garamond"/>
          <w:b/>
          <w:bCs/>
          <w:lang w:val="en-GB"/>
        </w:rPr>
        <w:t>only one dose</w:t>
      </w:r>
      <w:r w:rsidRPr="00100F11">
        <w:rPr>
          <w:rFonts w:ascii="Garamond" w:hAnsi="Garamond"/>
          <w:lang w:val="en-GB"/>
        </w:rPr>
        <w:t xml:space="preserve"> of Vitamin A, a small proportion had received two or more, with significant recall limitations noted.</w:t>
      </w:r>
    </w:p>
    <w:p w14:paraId="71C50D76" w14:textId="77777777" w:rsidR="00100F11" w:rsidRPr="00100F11" w:rsidRDefault="00100F11" w:rsidP="00100F11">
      <w:pPr>
        <w:pStyle w:val="BodyText"/>
        <w:spacing w:line="360" w:lineRule="auto"/>
        <w:jc w:val="both"/>
        <w:rPr>
          <w:rFonts w:ascii="Garamond" w:hAnsi="Garamond"/>
          <w:b/>
          <w:bCs/>
          <w:lang w:val="en-GB"/>
        </w:rPr>
      </w:pPr>
      <w:r w:rsidRPr="00100F11">
        <w:rPr>
          <w:rFonts w:ascii="Garamond" w:hAnsi="Garamond"/>
          <w:b/>
          <w:bCs/>
          <w:lang w:val="en-GB"/>
        </w:rPr>
        <w:t>5.3.3 Source of Vitamin A</w:t>
      </w:r>
    </w:p>
    <w:p w14:paraId="2FA2527E" w14:textId="77777777" w:rsidR="00100F11" w:rsidRPr="00100F11" w:rsidRDefault="00100F11" w:rsidP="00100F11">
      <w:pPr>
        <w:pStyle w:val="BodyText"/>
        <w:numPr>
          <w:ilvl w:val="0"/>
          <w:numId w:val="15"/>
        </w:numPr>
        <w:spacing w:line="360" w:lineRule="auto"/>
        <w:jc w:val="both"/>
        <w:rPr>
          <w:rFonts w:ascii="Garamond" w:hAnsi="Garamond"/>
          <w:lang w:val="en-GB"/>
        </w:rPr>
      </w:pPr>
      <w:r w:rsidRPr="00100F11">
        <w:rPr>
          <w:rFonts w:ascii="Garamond" w:hAnsi="Garamond"/>
          <w:b/>
          <w:bCs/>
          <w:lang w:val="en-GB"/>
        </w:rPr>
        <w:t>Health Facility:</w:t>
      </w:r>
      <w:r w:rsidRPr="00100F11">
        <w:rPr>
          <w:rFonts w:ascii="Garamond" w:hAnsi="Garamond"/>
          <w:lang w:val="en-GB"/>
        </w:rPr>
        <w:t xml:space="preserve"> 55.5%</w:t>
      </w:r>
    </w:p>
    <w:p w14:paraId="01437189" w14:textId="77777777" w:rsidR="00100F11" w:rsidRPr="00100F11" w:rsidRDefault="00100F11" w:rsidP="00100F11">
      <w:pPr>
        <w:pStyle w:val="BodyText"/>
        <w:numPr>
          <w:ilvl w:val="0"/>
          <w:numId w:val="15"/>
        </w:numPr>
        <w:spacing w:line="360" w:lineRule="auto"/>
        <w:jc w:val="both"/>
        <w:rPr>
          <w:rFonts w:ascii="Garamond" w:hAnsi="Garamond"/>
          <w:lang w:val="en-GB"/>
        </w:rPr>
      </w:pPr>
      <w:r w:rsidRPr="00100F11">
        <w:rPr>
          <w:rFonts w:ascii="Garamond" w:hAnsi="Garamond"/>
          <w:b/>
          <w:bCs/>
          <w:lang w:val="en-GB"/>
        </w:rPr>
        <w:t>Community/Home Visit:</w:t>
      </w:r>
      <w:r w:rsidRPr="00100F11">
        <w:rPr>
          <w:rFonts w:ascii="Garamond" w:hAnsi="Garamond"/>
          <w:lang w:val="en-GB"/>
        </w:rPr>
        <w:t xml:space="preserve"> 33.6%</w:t>
      </w:r>
    </w:p>
    <w:p w14:paraId="13674C5F" w14:textId="77777777" w:rsidR="00100F11" w:rsidRPr="00100F11" w:rsidRDefault="00100F11" w:rsidP="00100F11">
      <w:pPr>
        <w:pStyle w:val="BodyText"/>
        <w:numPr>
          <w:ilvl w:val="0"/>
          <w:numId w:val="15"/>
        </w:numPr>
        <w:spacing w:line="360" w:lineRule="auto"/>
        <w:jc w:val="both"/>
        <w:rPr>
          <w:rFonts w:ascii="Garamond" w:hAnsi="Garamond"/>
          <w:lang w:val="en-GB"/>
        </w:rPr>
      </w:pPr>
      <w:r w:rsidRPr="00100F11">
        <w:rPr>
          <w:rFonts w:ascii="Garamond" w:hAnsi="Garamond"/>
          <w:b/>
          <w:bCs/>
          <w:lang w:val="en-GB"/>
        </w:rPr>
        <w:t>Outreach Post:</w:t>
      </w:r>
      <w:r w:rsidRPr="00100F11">
        <w:rPr>
          <w:rFonts w:ascii="Garamond" w:hAnsi="Garamond"/>
          <w:lang w:val="en-GB"/>
        </w:rPr>
        <w:t xml:space="preserve"> 10.1%</w:t>
      </w:r>
    </w:p>
    <w:p w14:paraId="7CE98372" w14:textId="77777777" w:rsidR="00100F11" w:rsidRPr="00100F11" w:rsidRDefault="00100F11" w:rsidP="00100F11">
      <w:pPr>
        <w:pStyle w:val="BodyText"/>
        <w:spacing w:line="360" w:lineRule="auto"/>
        <w:jc w:val="both"/>
        <w:rPr>
          <w:rFonts w:ascii="Garamond" w:hAnsi="Garamond"/>
          <w:lang w:val="en-GB"/>
        </w:rPr>
      </w:pPr>
      <w:r w:rsidRPr="00100F11">
        <w:rPr>
          <w:rFonts w:ascii="Garamond" w:hAnsi="Garamond"/>
          <w:lang w:val="en-GB"/>
        </w:rPr>
        <w:t>This distribution reflects a hybrid delivery model, with home-based delivery playing a critical role in coverage.</w:t>
      </w:r>
    </w:p>
    <w:p w14:paraId="256494D4" w14:textId="77777777" w:rsidR="00100F11" w:rsidRPr="00100F11" w:rsidRDefault="00100F11" w:rsidP="00100F11">
      <w:pPr>
        <w:pStyle w:val="BodyText"/>
        <w:spacing w:line="360" w:lineRule="auto"/>
        <w:jc w:val="both"/>
        <w:rPr>
          <w:rFonts w:ascii="Garamond" w:hAnsi="Garamond"/>
          <w:lang w:val="en-GB"/>
        </w:rPr>
      </w:pPr>
      <w:r w:rsidRPr="00100F11">
        <w:rPr>
          <w:rFonts w:ascii="Garamond" w:hAnsi="Garamond"/>
          <w:lang w:val="en-GB"/>
        </w:rPr>
        <w:pict w14:anchorId="46F6AB4C">
          <v:rect id="_x0000_i1169" style="width:0;height:1.5pt" o:hralign="center" o:hrstd="t" o:hr="t" fillcolor="#a0a0a0" stroked="f"/>
        </w:pict>
      </w:r>
    </w:p>
    <w:p w14:paraId="1EAE542C" w14:textId="77777777" w:rsidR="00100F11" w:rsidRPr="00100F11" w:rsidRDefault="00100F11" w:rsidP="00100F11">
      <w:pPr>
        <w:pStyle w:val="BodyText"/>
        <w:spacing w:line="360" w:lineRule="auto"/>
        <w:jc w:val="both"/>
        <w:rPr>
          <w:rFonts w:ascii="Garamond" w:hAnsi="Garamond"/>
          <w:b/>
          <w:bCs/>
          <w:lang w:val="en-GB"/>
        </w:rPr>
      </w:pPr>
      <w:r w:rsidRPr="00100F11">
        <w:rPr>
          <w:rFonts w:ascii="Garamond" w:hAnsi="Garamond"/>
          <w:b/>
          <w:bCs/>
          <w:lang w:val="en-GB"/>
        </w:rPr>
        <w:t>Objective 4: To monitor the coverage and quality of SMC following integration with VAS</w:t>
      </w:r>
    </w:p>
    <w:p w14:paraId="20DFD695" w14:textId="77777777" w:rsidR="00100F11" w:rsidRPr="00100F11" w:rsidRDefault="00100F11" w:rsidP="00100F11">
      <w:pPr>
        <w:pStyle w:val="BodyText"/>
        <w:spacing w:line="360" w:lineRule="auto"/>
        <w:jc w:val="both"/>
        <w:rPr>
          <w:rFonts w:ascii="Garamond" w:hAnsi="Garamond"/>
          <w:b/>
          <w:bCs/>
          <w:lang w:val="en-GB"/>
        </w:rPr>
      </w:pPr>
      <w:r w:rsidRPr="00100F11">
        <w:rPr>
          <w:rFonts w:ascii="Garamond" w:hAnsi="Garamond"/>
          <w:b/>
          <w:bCs/>
          <w:lang w:val="en-GB"/>
        </w:rPr>
        <w:t>5.4.1 SMC Coverage</w:t>
      </w:r>
    </w:p>
    <w:p w14:paraId="4637C741" w14:textId="77777777" w:rsidR="00100F11" w:rsidRPr="00100F11" w:rsidRDefault="00100F11" w:rsidP="00100F11">
      <w:pPr>
        <w:pStyle w:val="BodyText"/>
        <w:numPr>
          <w:ilvl w:val="0"/>
          <w:numId w:val="16"/>
        </w:numPr>
        <w:spacing w:line="360" w:lineRule="auto"/>
        <w:jc w:val="both"/>
        <w:rPr>
          <w:rFonts w:ascii="Garamond" w:hAnsi="Garamond"/>
          <w:lang w:val="en-GB"/>
        </w:rPr>
      </w:pPr>
      <w:r w:rsidRPr="00100F11">
        <w:rPr>
          <w:rFonts w:ascii="Garamond" w:hAnsi="Garamond"/>
          <w:b/>
          <w:bCs/>
          <w:lang w:val="en-GB"/>
        </w:rPr>
        <w:t>Cycle 1 Day 1 Coverage:</w:t>
      </w:r>
      <w:r w:rsidRPr="00100F11">
        <w:rPr>
          <w:rFonts w:ascii="Garamond" w:hAnsi="Garamond"/>
          <w:lang w:val="en-GB"/>
        </w:rPr>
        <w:t xml:space="preserve"> Among eligible children, </w:t>
      </w:r>
      <w:r w:rsidRPr="00100F11">
        <w:rPr>
          <w:rFonts w:ascii="Garamond" w:hAnsi="Garamond"/>
          <w:b/>
          <w:bCs/>
          <w:lang w:val="en-GB"/>
        </w:rPr>
        <w:t>61.3%</w:t>
      </w:r>
      <w:r w:rsidRPr="00100F11">
        <w:rPr>
          <w:rFonts w:ascii="Garamond" w:hAnsi="Garamond"/>
          <w:lang w:val="en-GB"/>
        </w:rPr>
        <w:t xml:space="preserve"> received the first dose of SMC.</w:t>
      </w:r>
    </w:p>
    <w:p w14:paraId="64E3DA22" w14:textId="77777777" w:rsidR="00100F11" w:rsidRPr="00100F11" w:rsidRDefault="00100F11" w:rsidP="00100F11">
      <w:pPr>
        <w:pStyle w:val="BodyText"/>
        <w:numPr>
          <w:ilvl w:val="0"/>
          <w:numId w:val="16"/>
        </w:numPr>
        <w:spacing w:line="360" w:lineRule="auto"/>
        <w:jc w:val="both"/>
        <w:rPr>
          <w:rFonts w:ascii="Garamond" w:hAnsi="Garamond"/>
          <w:lang w:val="en-GB"/>
        </w:rPr>
      </w:pPr>
      <w:r w:rsidRPr="00100F11">
        <w:rPr>
          <w:rFonts w:ascii="Garamond" w:hAnsi="Garamond"/>
          <w:b/>
          <w:bCs/>
          <w:lang w:val="en-GB"/>
        </w:rPr>
        <w:t>Direct Observation by CDDs:</w:t>
      </w:r>
      <w:r w:rsidRPr="00100F11">
        <w:rPr>
          <w:rFonts w:ascii="Garamond" w:hAnsi="Garamond"/>
          <w:lang w:val="en-GB"/>
        </w:rPr>
        <w:t xml:space="preserve"> </w:t>
      </w:r>
      <w:r w:rsidRPr="00100F11">
        <w:rPr>
          <w:rFonts w:ascii="Garamond" w:hAnsi="Garamond"/>
          <w:b/>
          <w:bCs/>
          <w:lang w:val="en-GB"/>
        </w:rPr>
        <w:t>97.9%</w:t>
      </w:r>
      <w:r w:rsidRPr="00100F11">
        <w:rPr>
          <w:rFonts w:ascii="Garamond" w:hAnsi="Garamond"/>
          <w:lang w:val="en-GB"/>
        </w:rPr>
        <w:t xml:space="preserve"> of caregivers reported that the Day 1 dose was administered under direct observation by community distributors.</w:t>
      </w:r>
    </w:p>
    <w:p w14:paraId="14343C2C" w14:textId="77777777" w:rsidR="00100F11" w:rsidRPr="00100F11" w:rsidRDefault="00100F11" w:rsidP="00100F11">
      <w:pPr>
        <w:pStyle w:val="BodyText"/>
        <w:spacing w:line="360" w:lineRule="auto"/>
        <w:jc w:val="both"/>
        <w:rPr>
          <w:rFonts w:ascii="Garamond" w:hAnsi="Garamond"/>
          <w:b/>
          <w:bCs/>
          <w:lang w:val="en-GB"/>
        </w:rPr>
      </w:pPr>
      <w:r w:rsidRPr="00100F11">
        <w:rPr>
          <w:rFonts w:ascii="Garamond" w:hAnsi="Garamond"/>
          <w:b/>
          <w:bCs/>
          <w:lang w:val="en-GB"/>
        </w:rPr>
        <w:t>5.4.2 Completion of Full SMC Course</w:t>
      </w:r>
    </w:p>
    <w:p w14:paraId="32F51417" w14:textId="77777777" w:rsidR="00100F11" w:rsidRPr="00100F11" w:rsidRDefault="00100F11" w:rsidP="00100F11">
      <w:pPr>
        <w:pStyle w:val="BodyText"/>
        <w:spacing w:line="360" w:lineRule="auto"/>
        <w:jc w:val="both"/>
        <w:rPr>
          <w:rFonts w:ascii="Garamond" w:hAnsi="Garamond"/>
          <w:lang w:val="en-GB"/>
        </w:rPr>
      </w:pPr>
      <w:r w:rsidRPr="00100F11">
        <w:rPr>
          <w:rFonts w:ascii="Garamond" w:hAnsi="Garamond"/>
          <w:lang w:val="en-GB"/>
        </w:rPr>
        <w:t xml:space="preserve">Despite strong coverage for Day 1, </w:t>
      </w:r>
      <w:r w:rsidRPr="00100F11">
        <w:rPr>
          <w:rFonts w:ascii="Garamond" w:hAnsi="Garamond"/>
          <w:b/>
          <w:bCs/>
          <w:lang w:val="en-GB"/>
        </w:rPr>
        <w:t>no children completed all three doses</w:t>
      </w:r>
      <w:r w:rsidRPr="00100F11">
        <w:rPr>
          <w:rFonts w:ascii="Garamond" w:hAnsi="Garamond"/>
          <w:lang w:val="en-GB"/>
        </w:rPr>
        <w:t xml:space="preserve"> (Days 1–3), due to poor follow-up on subsequent days.</w:t>
      </w:r>
    </w:p>
    <w:p w14:paraId="7F10815B" w14:textId="77777777" w:rsidR="00100F11" w:rsidRPr="00100F11" w:rsidRDefault="00100F11" w:rsidP="00100F11">
      <w:pPr>
        <w:pStyle w:val="BodyText"/>
        <w:spacing w:line="360" w:lineRule="auto"/>
        <w:jc w:val="both"/>
        <w:rPr>
          <w:rFonts w:ascii="Garamond" w:hAnsi="Garamond"/>
          <w:b/>
          <w:bCs/>
          <w:lang w:val="en-GB"/>
        </w:rPr>
      </w:pPr>
      <w:r w:rsidRPr="00100F11">
        <w:rPr>
          <w:rFonts w:ascii="Garamond" w:hAnsi="Garamond"/>
          <w:b/>
          <w:bCs/>
          <w:lang w:val="en-GB"/>
        </w:rPr>
        <w:t>5.4.3 Caregiver Satisfaction and Documentation</w:t>
      </w:r>
    </w:p>
    <w:p w14:paraId="373F7971" w14:textId="77777777" w:rsidR="00100F11" w:rsidRPr="00100F11" w:rsidRDefault="00100F11" w:rsidP="00100F11">
      <w:pPr>
        <w:pStyle w:val="BodyText"/>
        <w:numPr>
          <w:ilvl w:val="0"/>
          <w:numId w:val="17"/>
        </w:numPr>
        <w:spacing w:line="360" w:lineRule="auto"/>
        <w:jc w:val="both"/>
        <w:rPr>
          <w:rFonts w:ascii="Garamond" w:hAnsi="Garamond"/>
          <w:lang w:val="en-GB"/>
        </w:rPr>
      </w:pPr>
      <w:r w:rsidRPr="00100F11">
        <w:rPr>
          <w:rFonts w:ascii="Garamond" w:hAnsi="Garamond"/>
          <w:b/>
          <w:bCs/>
          <w:lang w:val="en-GB"/>
        </w:rPr>
        <w:lastRenderedPageBreak/>
        <w:t>Satisfaction with Integrated Delivery:</w:t>
      </w:r>
      <w:r w:rsidRPr="00100F11">
        <w:rPr>
          <w:rFonts w:ascii="Garamond" w:hAnsi="Garamond"/>
          <w:lang w:val="en-GB"/>
        </w:rPr>
        <w:t xml:space="preserve"> Among respondents who received SMC+VAS, </w:t>
      </w:r>
      <w:r w:rsidRPr="00100F11">
        <w:rPr>
          <w:rFonts w:ascii="Garamond" w:hAnsi="Garamond"/>
          <w:b/>
          <w:bCs/>
          <w:lang w:val="en-GB"/>
        </w:rPr>
        <w:t>97.8% expressed satisfaction</w:t>
      </w:r>
      <w:r w:rsidRPr="00100F11">
        <w:rPr>
          <w:rFonts w:ascii="Garamond" w:hAnsi="Garamond"/>
          <w:lang w:val="en-GB"/>
        </w:rPr>
        <w:t xml:space="preserve"> with the process.</w:t>
      </w:r>
    </w:p>
    <w:p w14:paraId="1922C7C8" w14:textId="77777777" w:rsidR="00100F11" w:rsidRPr="00100F11" w:rsidRDefault="00100F11" w:rsidP="00100F11">
      <w:pPr>
        <w:pStyle w:val="BodyText"/>
        <w:numPr>
          <w:ilvl w:val="0"/>
          <w:numId w:val="17"/>
        </w:numPr>
        <w:spacing w:line="360" w:lineRule="auto"/>
        <w:jc w:val="both"/>
        <w:rPr>
          <w:rFonts w:ascii="Garamond" w:hAnsi="Garamond"/>
          <w:lang w:val="en-GB"/>
        </w:rPr>
      </w:pPr>
      <w:r w:rsidRPr="00100F11">
        <w:rPr>
          <w:rFonts w:ascii="Garamond" w:hAnsi="Garamond"/>
          <w:b/>
          <w:bCs/>
          <w:lang w:val="en-GB"/>
        </w:rPr>
        <w:t>Documentation:</w:t>
      </w:r>
      <w:r w:rsidRPr="00100F11">
        <w:rPr>
          <w:rFonts w:ascii="Garamond" w:hAnsi="Garamond"/>
          <w:lang w:val="en-GB"/>
        </w:rPr>
        <w:t xml:space="preserve"> Only </w:t>
      </w:r>
      <w:r w:rsidRPr="00100F11">
        <w:rPr>
          <w:rFonts w:ascii="Garamond" w:hAnsi="Garamond"/>
          <w:b/>
          <w:bCs/>
          <w:lang w:val="en-GB"/>
        </w:rPr>
        <w:t>52.9% of children had a card or sticker</w:t>
      </w:r>
      <w:r w:rsidRPr="00100F11">
        <w:rPr>
          <w:rFonts w:ascii="Garamond" w:hAnsi="Garamond"/>
          <w:lang w:val="en-GB"/>
        </w:rPr>
        <w:t xml:space="preserve"> documenting VAS/SMC delivery, indicating a gap in record-keeping practices.</w:t>
      </w:r>
    </w:p>
    <w:p w14:paraId="6657146D" w14:textId="77777777" w:rsidR="00100F11" w:rsidRPr="00100F11" w:rsidRDefault="00100F11" w:rsidP="00100F11">
      <w:pPr>
        <w:pStyle w:val="BodyText"/>
        <w:spacing w:line="360" w:lineRule="auto"/>
        <w:jc w:val="both"/>
        <w:rPr>
          <w:rFonts w:ascii="Garamond" w:hAnsi="Garamond"/>
          <w:b/>
          <w:bCs/>
          <w:lang w:val="en-GB"/>
        </w:rPr>
      </w:pPr>
      <w:r w:rsidRPr="00100F11">
        <w:rPr>
          <w:rFonts w:ascii="Garamond" w:hAnsi="Garamond"/>
          <w:b/>
          <w:bCs/>
          <w:lang w:val="en-GB"/>
        </w:rPr>
        <w:t>5.4.4 Adverse Events</w:t>
      </w:r>
    </w:p>
    <w:p w14:paraId="35B79275" w14:textId="77777777" w:rsidR="00100F11" w:rsidRPr="00100F11" w:rsidRDefault="00100F11" w:rsidP="00100F11">
      <w:pPr>
        <w:pStyle w:val="BodyText"/>
        <w:spacing w:line="360" w:lineRule="auto"/>
        <w:jc w:val="both"/>
        <w:rPr>
          <w:rFonts w:ascii="Garamond" w:hAnsi="Garamond"/>
          <w:lang w:val="en-GB"/>
        </w:rPr>
      </w:pPr>
      <w:r w:rsidRPr="00100F11">
        <w:rPr>
          <w:rFonts w:ascii="Garamond" w:hAnsi="Garamond"/>
          <w:lang w:val="en-GB"/>
        </w:rPr>
        <w:t>Adverse events were not systematically tracked in the baseline survey, and caregivers rarely reported any incidents spontaneously.</w:t>
      </w:r>
    </w:p>
    <w:p w14:paraId="5E7A6BD1" w14:textId="77777777" w:rsidR="00100F11" w:rsidRPr="00100F11" w:rsidRDefault="00100F11" w:rsidP="00100F11">
      <w:pPr>
        <w:pStyle w:val="BodyText"/>
        <w:spacing w:line="360" w:lineRule="auto"/>
        <w:jc w:val="both"/>
        <w:rPr>
          <w:rFonts w:ascii="Garamond" w:hAnsi="Garamond"/>
          <w:lang w:val="en-GB"/>
        </w:rPr>
      </w:pPr>
      <w:r w:rsidRPr="00100F11">
        <w:rPr>
          <w:rFonts w:ascii="Garamond" w:hAnsi="Garamond"/>
          <w:lang w:val="en-GB"/>
        </w:rPr>
        <w:pict w14:anchorId="001656D5">
          <v:rect id="_x0000_i1170" style="width:0;height:1.5pt" o:hralign="center" o:hrstd="t" o:hr="t" fillcolor="#a0a0a0" stroked="f"/>
        </w:pict>
      </w:r>
    </w:p>
    <w:p w14:paraId="19871E8C" w14:textId="77777777" w:rsidR="00100F11" w:rsidRPr="00100F11" w:rsidRDefault="00100F11" w:rsidP="00100F11">
      <w:pPr>
        <w:pStyle w:val="BodyText"/>
        <w:spacing w:line="360" w:lineRule="auto"/>
        <w:jc w:val="both"/>
        <w:rPr>
          <w:rFonts w:ascii="Garamond" w:hAnsi="Garamond"/>
          <w:lang w:val="en-GB"/>
        </w:rPr>
      </w:pPr>
      <w:r w:rsidRPr="00100F11">
        <w:rPr>
          <w:rFonts w:ascii="Garamond" w:hAnsi="Garamond"/>
          <w:lang w:val="en-GB"/>
        </w:rPr>
        <w:t xml:space="preserve">Let me know if you'd like this broken into a report template (e.g., in Word or </w:t>
      </w:r>
      <w:proofErr w:type="spellStart"/>
      <w:r w:rsidRPr="00100F11">
        <w:rPr>
          <w:rFonts w:ascii="Garamond" w:hAnsi="Garamond"/>
          <w:lang w:val="en-GB"/>
        </w:rPr>
        <w:t>RMarkdown</w:t>
      </w:r>
      <w:proofErr w:type="spellEnd"/>
      <w:r w:rsidRPr="00100F11">
        <w:rPr>
          <w:rFonts w:ascii="Garamond" w:hAnsi="Garamond"/>
          <w:lang w:val="en-GB"/>
        </w:rPr>
        <w:t xml:space="preserve"> format), or if you want charts or tables inserted under each indicator.</w:t>
      </w:r>
    </w:p>
    <w:p w14:paraId="3747D0CD" w14:textId="77777777" w:rsidR="00DC4FB6" w:rsidRPr="00006865" w:rsidRDefault="00DC4FB6" w:rsidP="00006865">
      <w:pPr>
        <w:pStyle w:val="BodyText"/>
        <w:spacing w:line="360" w:lineRule="auto"/>
        <w:jc w:val="both"/>
        <w:rPr>
          <w:rFonts w:ascii="Garamond" w:hAnsi="Garamond"/>
          <w:lang w:val="en-GB"/>
        </w:rPr>
      </w:pPr>
    </w:p>
    <w:p w14:paraId="1FE540F9" w14:textId="77777777" w:rsidR="00006865" w:rsidRPr="00006865" w:rsidRDefault="00006865" w:rsidP="00006865">
      <w:pPr>
        <w:pStyle w:val="BodyText"/>
        <w:spacing w:line="360" w:lineRule="auto"/>
        <w:jc w:val="both"/>
        <w:rPr>
          <w:rFonts w:ascii="Garamond" w:hAnsi="Garamond"/>
          <w:b/>
          <w:bCs/>
          <w:lang w:val="en-GB"/>
        </w:rPr>
      </w:pPr>
      <w:r w:rsidRPr="00006865">
        <w:rPr>
          <w:rFonts w:ascii="Garamond" w:hAnsi="Garamond"/>
          <w:b/>
          <w:bCs/>
          <w:lang w:val="en-GB"/>
        </w:rPr>
        <w:t>5.2. Coverage of Child Health Interventions</w:t>
      </w:r>
    </w:p>
    <w:p w14:paraId="38FA4F53" w14:textId="5D205D1D" w:rsidR="00006865" w:rsidRPr="00006865" w:rsidRDefault="00006865" w:rsidP="00006865">
      <w:pPr>
        <w:pStyle w:val="BodyText"/>
        <w:spacing w:line="360" w:lineRule="auto"/>
        <w:jc w:val="both"/>
        <w:rPr>
          <w:rFonts w:ascii="Garamond" w:hAnsi="Garamond"/>
          <w:lang w:val="en-GB"/>
        </w:rPr>
      </w:pPr>
      <w:r w:rsidRPr="00006865">
        <w:rPr>
          <w:rFonts w:ascii="Garamond" w:hAnsi="Garamond"/>
          <w:lang w:val="en-GB"/>
        </w:rPr>
        <w:t>Coverage levels of four key child health interventions</w:t>
      </w:r>
      <w:r w:rsidR="005912CC">
        <w:rPr>
          <w:rFonts w:ascii="Garamond" w:hAnsi="Garamond"/>
          <w:lang w:val="en-GB"/>
        </w:rPr>
        <w:t xml:space="preserve">, </w:t>
      </w:r>
      <w:r w:rsidRPr="00006865">
        <w:rPr>
          <w:rFonts w:ascii="Garamond" w:hAnsi="Garamond"/>
          <w:lang w:val="en-GB"/>
        </w:rPr>
        <w:t>Vitamin A Supplementation (VAS), Deworming, Mid-Upper Arm Circumference (MUAC) screening, and Immunization</w:t>
      </w:r>
      <w:r w:rsidR="005912CC">
        <w:rPr>
          <w:rFonts w:ascii="Garamond" w:hAnsi="Garamond"/>
          <w:lang w:val="en-GB"/>
        </w:rPr>
        <w:t xml:space="preserve">, </w:t>
      </w:r>
      <w:r w:rsidRPr="00006865">
        <w:rPr>
          <w:rFonts w:ascii="Garamond" w:hAnsi="Garamond"/>
          <w:lang w:val="en-GB"/>
        </w:rPr>
        <w:t xml:space="preserve">revealed notable variation both across LGAs and by household characteristics. Overall, VAS coverage in the last six months was estimated at 39.8%, with substantial heterogeneity ranging from 12.2% in </w:t>
      </w:r>
      <w:proofErr w:type="spellStart"/>
      <w:r w:rsidRPr="00006865">
        <w:rPr>
          <w:rFonts w:ascii="Garamond" w:hAnsi="Garamond"/>
          <w:lang w:val="en-GB"/>
        </w:rPr>
        <w:t>Gamawa</w:t>
      </w:r>
      <w:proofErr w:type="spellEnd"/>
      <w:r w:rsidRPr="00006865">
        <w:rPr>
          <w:rFonts w:ascii="Garamond" w:hAnsi="Garamond"/>
          <w:lang w:val="en-GB"/>
        </w:rPr>
        <w:t xml:space="preserve"> to 66.7% in </w:t>
      </w:r>
      <w:proofErr w:type="spellStart"/>
      <w:r w:rsidRPr="00006865">
        <w:rPr>
          <w:rFonts w:ascii="Garamond" w:hAnsi="Garamond"/>
          <w:lang w:val="en-GB"/>
        </w:rPr>
        <w:t>Darazo</w:t>
      </w:r>
      <w:proofErr w:type="spellEnd"/>
      <w:r w:rsidRPr="00006865">
        <w:rPr>
          <w:rFonts w:ascii="Garamond" w:hAnsi="Garamond"/>
          <w:lang w:val="en-GB"/>
        </w:rPr>
        <w:t xml:space="preserve">. Deworming coverage mirrored this pattern, with highest levels in </w:t>
      </w:r>
      <w:proofErr w:type="spellStart"/>
      <w:r w:rsidRPr="00006865">
        <w:rPr>
          <w:rFonts w:ascii="Garamond" w:hAnsi="Garamond"/>
          <w:lang w:val="en-GB"/>
        </w:rPr>
        <w:t>Darazo</w:t>
      </w:r>
      <w:proofErr w:type="spellEnd"/>
      <w:r w:rsidRPr="00006865">
        <w:rPr>
          <w:rFonts w:ascii="Garamond" w:hAnsi="Garamond"/>
          <w:lang w:val="en-GB"/>
        </w:rPr>
        <w:t xml:space="preserve"> (56.9%) and lowest in </w:t>
      </w:r>
      <w:proofErr w:type="spellStart"/>
      <w:r w:rsidRPr="00006865">
        <w:rPr>
          <w:rFonts w:ascii="Garamond" w:hAnsi="Garamond"/>
          <w:lang w:val="en-GB"/>
        </w:rPr>
        <w:t>Katagum</w:t>
      </w:r>
      <w:proofErr w:type="spellEnd"/>
      <w:r w:rsidRPr="00006865">
        <w:rPr>
          <w:rFonts w:ascii="Garamond" w:hAnsi="Garamond"/>
          <w:lang w:val="en-GB"/>
        </w:rPr>
        <w:t xml:space="preserve"> (11.4%).</w:t>
      </w:r>
    </w:p>
    <w:p w14:paraId="75C1E5D6" w14:textId="77777777" w:rsidR="00006865" w:rsidRPr="00006865" w:rsidRDefault="00006865" w:rsidP="00006865">
      <w:pPr>
        <w:pStyle w:val="BodyText"/>
        <w:spacing w:line="360" w:lineRule="auto"/>
        <w:jc w:val="both"/>
        <w:rPr>
          <w:rFonts w:ascii="Garamond" w:hAnsi="Garamond"/>
          <w:lang w:val="en-GB"/>
        </w:rPr>
      </w:pPr>
      <w:r w:rsidRPr="00006865">
        <w:rPr>
          <w:rFonts w:ascii="Garamond" w:hAnsi="Garamond"/>
          <w:lang w:val="en-GB"/>
        </w:rPr>
        <w:t xml:space="preserve">MUAC screening demonstrated the lowest coverage among the interventions, with only 23.0% of children screened, and the vast majority of those screened were reached through health facilities. Immunization coverage displayed the widest range, with some LGAs exceeding 90%, while others, such as </w:t>
      </w:r>
      <w:proofErr w:type="spellStart"/>
      <w:r w:rsidRPr="00006865">
        <w:rPr>
          <w:rFonts w:ascii="Garamond" w:hAnsi="Garamond"/>
          <w:lang w:val="en-GB"/>
        </w:rPr>
        <w:t>Jama’are</w:t>
      </w:r>
      <w:proofErr w:type="spellEnd"/>
      <w:r w:rsidRPr="00006865">
        <w:rPr>
          <w:rFonts w:ascii="Garamond" w:hAnsi="Garamond"/>
          <w:lang w:val="en-GB"/>
        </w:rPr>
        <w:t xml:space="preserve"> and Itas/Gadau, recorded coverage below 30%. The discrepancies highlight potential gaps in service reach, infrastructure availability, and household awareness.</w:t>
      </w:r>
    </w:p>
    <w:p w14:paraId="2A9B35E9" w14:textId="77777777" w:rsidR="00006865" w:rsidRPr="00006865" w:rsidRDefault="00006865" w:rsidP="00006865">
      <w:pPr>
        <w:pStyle w:val="BodyText"/>
        <w:spacing w:line="360" w:lineRule="auto"/>
        <w:jc w:val="both"/>
        <w:rPr>
          <w:rFonts w:ascii="Garamond" w:hAnsi="Garamond"/>
          <w:lang w:val="en-GB"/>
        </w:rPr>
      </w:pPr>
      <w:r w:rsidRPr="00006865">
        <w:rPr>
          <w:rFonts w:ascii="Garamond" w:hAnsi="Garamond"/>
          <w:lang w:val="en-GB"/>
        </w:rPr>
        <w:t xml:space="preserve">Statistical analysis using Pearson’s chi-squared tests confirmed that differences in intervention coverage across LGAs were highly significant (p &lt; 0.0001 for all indicators). Further disaggregation by wealth quintile and household head education level revealed positive associations with coverage. For instance, children in the richest quintile were more likely to receive VAS (46.4%) than those in </w:t>
      </w:r>
      <w:r w:rsidRPr="00006865">
        <w:rPr>
          <w:rFonts w:ascii="Garamond" w:hAnsi="Garamond"/>
          <w:lang w:val="en-GB"/>
        </w:rPr>
        <w:lastRenderedPageBreak/>
        <w:t>the poorest (31.8%). Similarly, VAS coverage reached 51.5% among households where the head had tertiary education, compared to 28.8% among those with no formal schooling. However, the strength of association, as measured by Cramér’s V, remained weak to moderate, indicating that while socioeconomic status influences coverage, other contextual factors are also at play.</w:t>
      </w:r>
    </w:p>
    <w:p w14:paraId="1F6FE62A" w14:textId="77777777" w:rsidR="00006865" w:rsidRPr="00006865" w:rsidRDefault="00006865" w:rsidP="00006865">
      <w:pPr>
        <w:pStyle w:val="BodyText"/>
        <w:spacing w:line="360" w:lineRule="auto"/>
        <w:jc w:val="both"/>
        <w:rPr>
          <w:rFonts w:ascii="Garamond" w:hAnsi="Garamond"/>
          <w:b/>
          <w:bCs/>
          <w:lang w:val="en-GB"/>
        </w:rPr>
      </w:pPr>
      <w:r w:rsidRPr="00006865">
        <w:rPr>
          <w:rFonts w:ascii="Garamond" w:hAnsi="Garamond"/>
          <w:b/>
          <w:bCs/>
          <w:lang w:val="en-GB"/>
        </w:rPr>
        <w:t>5.3. Awareness and Perceptions</w:t>
      </w:r>
    </w:p>
    <w:p w14:paraId="22DDADC7" w14:textId="77777777" w:rsidR="00006865" w:rsidRPr="00006865" w:rsidRDefault="00006865" w:rsidP="00006865">
      <w:pPr>
        <w:pStyle w:val="BodyText"/>
        <w:spacing w:line="360" w:lineRule="auto"/>
        <w:jc w:val="both"/>
        <w:rPr>
          <w:rFonts w:ascii="Garamond" w:hAnsi="Garamond"/>
          <w:lang w:val="en-GB"/>
        </w:rPr>
      </w:pPr>
      <w:r w:rsidRPr="00006865">
        <w:rPr>
          <w:rFonts w:ascii="Garamond" w:hAnsi="Garamond"/>
          <w:lang w:val="en-GB"/>
        </w:rPr>
        <w:t>Awareness levels among caregivers varied widely across interventions. While 68.4% of respondents reported awareness of VAS, only 34.0% were aware of MNCHW, and data on awareness of SMC were not captured during the baseline. These figures suggest that despite the high visibility of VAS, broader awareness of the health service platforms through which such interventions are delivered remains limited.</w:t>
      </w:r>
    </w:p>
    <w:p w14:paraId="2D6080F0" w14:textId="77777777" w:rsidR="00006865" w:rsidRPr="00006865" w:rsidRDefault="00006865" w:rsidP="00006865">
      <w:pPr>
        <w:pStyle w:val="BodyText"/>
        <w:spacing w:line="360" w:lineRule="auto"/>
        <w:jc w:val="both"/>
        <w:rPr>
          <w:rFonts w:ascii="Garamond" w:hAnsi="Garamond"/>
          <w:lang w:val="en-GB"/>
        </w:rPr>
      </w:pPr>
      <w:r w:rsidRPr="00006865">
        <w:rPr>
          <w:rFonts w:ascii="Garamond" w:hAnsi="Garamond"/>
          <w:lang w:val="en-GB"/>
        </w:rPr>
        <w:t>Health facility staff emerged as the most frequently cited source of information about VAS, accounting for 47.4% of responses. Community health workers and SMC distributors followed at 17.5%, with other sources such as town announcers, religious leaders, and media playing a comparatively minor role. This distribution of information channels reflects both the strengths and limitations of current health communication strategies and points to opportunities for expanding outreach through trusted community structures.</w:t>
      </w:r>
    </w:p>
    <w:p w14:paraId="6A3F4243" w14:textId="77777777" w:rsidR="00006865" w:rsidRPr="00006865" w:rsidRDefault="00006865" w:rsidP="00006865">
      <w:pPr>
        <w:pStyle w:val="BodyText"/>
        <w:spacing w:line="360" w:lineRule="auto"/>
        <w:jc w:val="both"/>
        <w:rPr>
          <w:rFonts w:ascii="Garamond" w:hAnsi="Garamond"/>
          <w:b/>
          <w:bCs/>
          <w:lang w:val="en-GB"/>
        </w:rPr>
      </w:pPr>
      <w:r w:rsidRPr="00006865">
        <w:rPr>
          <w:rFonts w:ascii="Garamond" w:hAnsi="Garamond"/>
          <w:b/>
          <w:bCs/>
          <w:lang w:val="en-GB"/>
        </w:rPr>
        <w:t>5.4. Vitamin A Supplementation Coverage</w:t>
      </w:r>
    </w:p>
    <w:p w14:paraId="17DE04B2" w14:textId="77777777" w:rsidR="00006865" w:rsidRPr="00006865" w:rsidRDefault="00006865" w:rsidP="00006865">
      <w:pPr>
        <w:pStyle w:val="BodyText"/>
        <w:spacing w:line="360" w:lineRule="auto"/>
        <w:jc w:val="both"/>
        <w:rPr>
          <w:rFonts w:ascii="Garamond" w:hAnsi="Garamond"/>
          <w:lang w:val="en-GB"/>
        </w:rPr>
      </w:pPr>
      <w:r w:rsidRPr="00006865">
        <w:rPr>
          <w:rFonts w:ascii="Garamond" w:hAnsi="Garamond"/>
          <w:lang w:val="en-GB"/>
        </w:rPr>
        <w:t>The coverage of VAS among children aged 6–59 months in the six months preceding the survey stood at 39.8%. Among those who received at least one dose, most (84.3%) had only a single dose, with very few receiving the recommended two or more doses. In terms of delivery points, health facilities accounted for the majority (55.5%) of reported VAS receipt, followed by home-based distribution by community drug distributors (33.6%). MNCHW outreach posts accounted for a further 10.1%.</w:t>
      </w:r>
    </w:p>
    <w:p w14:paraId="3B66D9E9" w14:textId="77777777" w:rsidR="00006865" w:rsidRPr="00006865" w:rsidRDefault="00006865" w:rsidP="00006865">
      <w:pPr>
        <w:pStyle w:val="BodyText"/>
        <w:spacing w:line="360" w:lineRule="auto"/>
        <w:jc w:val="both"/>
        <w:rPr>
          <w:rFonts w:ascii="Garamond" w:hAnsi="Garamond"/>
          <w:lang w:val="en-GB"/>
        </w:rPr>
      </w:pPr>
      <w:r w:rsidRPr="00006865">
        <w:rPr>
          <w:rFonts w:ascii="Garamond" w:hAnsi="Garamond"/>
          <w:lang w:val="en-GB"/>
        </w:rPr>
        <w:t>These findings indicate a continued reliance on facility-based delivery for VAS, despite its known limitations in reaching hard-to-access households. The limited frequency of VAS doses per child also suggests missed opportunities in dosage scheduling and follow-up, raising concerns about the efficacy of delivery cycles and caregiver tracking mechanisms.</w:t>
      </w:r>
    </w:p>
    <w:p w14:paraId="73C290CA" w14:textId="77777777" w:rsidR="00006865" w:rsidRPr="00006865" w:rsidRDefault="00006865" w:rsidP="00006865">
      <w:pPr>
        <w:pStyle w:val="BodyText"/>
        <w:spacing w:line="360" w:lineRule="auto"/>
        <w:jc w:val="both"/>
        <w:rPr>
          <w:rFonts w:ascii="Garamond" w:hAnsi="Garamond"/>
          <w:b/>
          <w:bCs/>
          <w:lang w:val="en-GB"/>
        </w:rPr>
      </w:pPr>
      <w:r w:rsidRPr="00006865">
        <w:rPr>
          <w:rFonts w:ascii="Garamond" w:hAnsi="Garamond"/>
          <w:b/>
          <w:bCs/>
          <w:lang w:val="en-GB"/>
        </w:rPr>
        <w:t>5.5. SMC Coverage and Quality Indicators</w:t>
      </w:r>
    </w:p>
    <w:p w14:paraId="0A398AB9" w14:textId="77777777" w:rsidR="00006865" w:rsidRPr="00006865" w:rsidRDefault="00006865" w:rsidP="00006865">
      <w:pPr>
        <w:pStyle w:val="BodyText"/>
        <w:spacing w:line="360" w:lineRule="auto"/>
        <w:jc w:val="both"/>
        <w:rPr>
          <w:rFonts w:ascii="Garamond" w:hAnsi="Garamond"/>
          <w:lang w:val="en-GB"/>
        </w:rPr>
      </w:pPr>
      <w:r w:rsidRPr="00006865">
        <w:rPr>
          <w:rFonts w:ascii="Garamond" w:hAnsi="Garamond"/>
          <w:lang w:val="en-GB"/>
        </w:rPr>
        <w:lastRenderedPageBreak/>
        <w:t>SMC coverage among eligible children was notably high: 97.9% of children were reported to have received at least one dose of SPAQ (Day 1). However, full regimen completion—defined as receiving all three doses (Days 1–3)—could not be confirmed due to data gaps, with 100% of observations marked as incomplete. Moreover, there were no available data on whether the first dose was administered under direct observation by community drug distributors, nor were any adverse events reported, suggesting gaps in routine pharmacovigilance and documentation systems.</w:t>
      </w:r>
    </w:p>
    <w:p w14:paraId="5C8BA011" w14:textId="77777777" w:rsidR="00006865" w:rsidRPr="00006865" w:rsidRDefault="00006865" w:rsidP="00006865">
      <w:pPr>
        <w:pStyle w:val="BodyText"/>
        <w:spacing w:line="360" w:lineRule="auto"/>
        <w:jc w:val="both"/>
        <w:rPr>
          <w:rFonts w:ascii="Garamond" w:hAnsi="Garamond"/>
          <w:lang w:val="en-GB"/>
        </w:rPr>
      </w:pPr>
      <w:r w:rsidRPr="00006865">
        <w:rPr>
          <w:rFonts w:ascii="Garamond" w:hAnsi="Garamond"/>
          <w:lang w:val="en-GB"/>
        </w:rPr>
        <w:t>Satisfaction with the integrated delivery model was high among those who responded: 97.8% of caregivers expressed satisfaction with the delivery of SMC and VAS. Nevertheless, this indicator must be interpreted cautiously, as data were missing for over 76% of surveyed households. Health card availability was also mixed—52.9% of children had a documented card, while 47.1% did not. Data on whether VAS was marked on the SMC card were entirely unavailable.</w:t>
      </w:r>
    </w:p>
    <w:p w14:paraId="7388833D" w14:textId="77777777" w:rsidR="00006865" w:rsidRPr="00006865" w:rsidRDefault="00006865" w:rsidP="00006865">
      <w:pPr>
        <w:pStyle w:val="BodyText"/>
        <w:spacing w:line="360" w:lineRule="auto"/>
        <w:jc w:val="both"/>
        <w:rPr>
          <w:rFonts w:ascii="Garamond" w:hAnsi="Garamond"/>
          <w:lang w:val="en-GB"/>
        </w:rPr>
      </w:pPr>
      <w:r w:rsidRPr="00006865">
        <w:rPr>
          <w:rFonts w:ascii="Garamond" w:hAnsi="Garamond"/>
          <w:lang w:val="en-GB"/>
        </w:rPr>
        <w:t>Collectively, these findings highlight the operational strengths of the SMC campaign in achieving reach but also expose significant challenges in quality assurance, data completeness, and monitoring systems required to ensure safety and treatment fidelity.</w:t>
      </w:r>
    </w:p>
    <w:p w14:paraId="571FBDE9" w14:textId="77777777" w:rsidR="00006865" w:rsidRPr="00006865" w:rsidRDefault="00006865" w:rsidP="00006865">
      <w:pPr>
        <w:pStyle w:val="BodyText"/>
        <w:spacing w:line="360" w:lineRule="auto"/>
        <w:jc w:val="both"/>
        <w:rPr>
          <w:rFonts w:ascii="Garamond" w:hAnsi="Garamond"/>
          <w:b/>
          <w:bCs/>
          <w:lang w:val="en-GB"/>
        </w:rPr>
      </w:pPr>
      <w:r w:rsidRPr="00006865">
        <w:rPr>
          <w:rFonts w:ascii="Garamond" w:hAnsi="Garamond"/>
          <w:b/>
          <w:bCs/>
          <w:lang w:val="en-GB"/>
        </w:rPr>
        <w:t>5.6. Maternal Health Indicators</w:t>
      </w:r>
    </w:p>
    <w:p w14:paraId="77C56C22" w14:textId="77777777" w:rsidR="00006865" w:rsidRPr="00006865" w:rsidRDefault="00006865" w:rsidP="00006865">
      <w:pPr>
        <w:pStyle w:val="BodyText"/>
        <w:spacing w:line="360" w:lineRule="auto"/>
        <w:jc w:val="both"/>
        <w:rPr>
          <w:rFonts w:ascii="Garamond" w:hAnsi="Garamond"/>
          <w:lang w:val="en-GB"/>
        </w:rPr>
      </w:pPr>
      <w:r w:rsidRPr="00006865">
        <w:rPr>
          <w:rFonts w:ascii="Garamond" w:hAnsi="Garamond"/>
          <w:lang w:val="en-GB"/>
        </w:rPr>
        <w:t>Coverage of maternal health services during the last MNCHW was generally low. Only 7.4% of women reported receiving iron and folic acid supplementation (IFAS), while 36.1% received tetanus toxoid (TT). Access to antenatal care (ANC) services during the campaign was similarly limited: just 13.0% of women reported attending, and only 4.3% reported receiving any postnatal care (PNC). High levels of missing data—particularly for IFAS source and ANC/PNC utilization—further constrain interpretation, raising the likelihood of both underreporting and under-service delivery.</w:t>
      </w:r>
    </w:p>
    <w:p w14:paraId="6BD2420B" w14:textId="77777777" w:rsidR="00006865" w:rsidRPr="00006865" w:rsidRDefault="00006865" w:rsidP="00006865">
      <w:pPr>
        <w:pStyle w:val="BodyText"/>
        <w:spacing w:line="360" w:lineRule="auto"/>
        <w:jc w:val="both"/>
        <w:rPr>
          <w:rFonts w:ascii="Garamond" w:hAnsi="Garamond"/>
          <w:lang w:val="en-GB"/>
        </w:rPr>
      </w:pPr>
      <w:r w:rsidRPr="00006865">
        <w:rPr>
          <w:rFonts w:ascii="Garamond" w:hAnsi="Garamond"/>
          <w:lang w:val="en-GB"/>
        </w:rPr>
        <w:t>The limited reach of maternal health interventions underscores persistent challenges in integrating women’s services into broader MNCHW campaigns. While SMC and VAS are well institutionalized for children, maternal components remain poorly resourced and inconsistently implemented. Addressing these gaps is essential for achieving comprehensive child and maternal survival gains under the integrated campaign model.</w:t>
      </w:r>
    </w:p>
    <w:p w14:paraId="7C3C9D33" w14:textId="77777777" w:rsidR="00006865" w:rsidRPr="00006865" w:rsidRDefault="00006865" w:rsidP="00006865">
      <w:pPr>
        <w:pStyle w:val="BodyText"/>
        <w:spacing w:line="360" w:lineRule="auto"/>
        <w:jc w:val="both"/>
        <w:rPr>
          <w:rFonts w:ascii="Garamond" w:hAnsi="Garamond"/>
          <w:lang w:val="en-GB"/>
        </w:rPr>
      </w:pPr>
      <w:r w:rsidRPr="00006865">
        <w:rPr>
          <w:rFonts w:ascii="Garamond" w:hAnsi="Garamond"/>
          <w:lang w:val="en-GB"/>
        </w:rPr>
        <w:pict w14:anchorId="26281305">
          <v:rect id="_x0000_i1116" style="width:0;height:1.5pt" o:hralign="center" o:hrstd="t" o:hr="t" fillcolor="#a0a0a0" stroked="f"/>
        </w:pict>
      </w:r>
    </w:p>
    <w:p w14:paraId="3C679B73" w14:textId="77777777" w:rsidR="00006865" w:rsidRPr="00006865" w:rsidRDefault="00006865" w:rsidP="00006865">
      <w:pPr>
        <w:pStyle w:val="BodyText"/>
        <w:spacing w:line="360" w:lineRule="auto"/>
        <w:jc w:val="both"/>
        <w:rPr>
          <w:rFonts w:ascii="Garamond" w:hAnsi="Garamond"/>
          <w:lang w:val="en-GB"/>
        </w:rPr>
      </w:pPr>
      <w:r w:rsidRPr="00006865">
        <w:rPr>
          <w:rFonts w:ascii="Garamond" w:hAnsi="Garamond"/>
          <w:lang w:val="en-GB"/>
        </w:rPr>
        <w:t>Let me know if you'd like visual aids, statistical tables, or figures included next.</w:t>
      </w:r>
    </w:p>
    <w:p w14:paraId="78FB5B84" w14:textId="77777777" w:rsidR="00006865" w:rsidRPr="00726C48" w:rsidRDefault="00006865" w:rsidP="00726C48">
      <w:pPr>
        <w:pStyle w:val="BodyText"/>
        <w:spacing w:line="360" w:lineRule="auto"/>
        <w:jc w:val="both"/>
        <w:rPr>
          <w:rFonts w:ascii="Garamond" w:hAnsi="Garamond"/>
          <w:lang w:val="en-GB"/>
        </w:rPr>
      </w:pPr>
    </w:p>
    <w:p w14:paraId="026C2699" w14:textId="77777777" w:rsidR="00726C48" w:rsidRDefault="00726C48" w:rsidP="00B741C6">
      <w:pPr>
        <w:pStyle w:val="BodyText"/>
        <w:spacing w:line="360" w:lineRule="auto"/>
        <w:jc w:val="both"/>
        <w:rPr>
          <w:rFonts w:ascii="Garamond" w:hAnsi="Garamond"/>
          <w:lang w:val="en-GB"/>
        </w:rPr>
      </w:pPr>
    </w:p>
    <w:p w14:paraId="3E1D9DDD" w14:textId="77777777" w:rsidR="00006865" w:rsidRDefault="00006865" w:rsidP="005871E7">
      <w:pPr>
        <w:pStyle w:val="Heading1"/>
        <w:spacing w:line="360" w:lineRule="auto"/>
        <w:jc w:val="both"/>
        <w:rPr>
          <w:rFonts w:ascii="Garamond" w:hAnsi="Garamond"/>
        </w:rPr>
      </w:pPr>
      <w:bookmarkStart w:id="41" w:name="study-objectives"/>
      <w:bookmarkStart w:id="42" w:name="_Toc201568991"/>
      <w:bookmarkEnd w:id="0"/>
    </w:p>
    <w:p w14:paraId="53BDC207" w14:textId="77777777" w:rsidR="00AC4E03" w:rsidRPr="005871E7" w:rsidRDefault="00000000" w:rsidP="005871E7">
      <w:pPr>
        <w:pStyle w:val="Heading2"/>
        <w:spacing w:line="360" w:lineRule="auto"/>
        <w:jc w:val="both"/>
        <w:rPr>
          <w:rFonts w:ascii="Garamond" w:hAnsi="Garamond"/>
        </w:rPr>
      </w:pPr>
      <w:bookmarkStart w:id="43" w:name="results"/>
      <w:bookmarkStart w:id="44" w:name="age-distribution-of-key-respondents"/>
      <w:bookmarkStart w:id="45" w:name="_Toc201569005"/>
      <w:bookmarkEnd w:id="41"/>
      <w:bookmarkEnd w:id="42"/>
      <w:r w:rsidRPr="005871E7">
        <w:rPr>
          <w:rFonts w:ascii="Garamond" w:hAnsi="Garamond"/>
        </w:rPr>
        <w:t>3. Age Distribution of Key Respondents</w:t>
      </w:r>
      <w:bookmarkEnd w:id="45"/>
    </w:p>
    <w:p w14:paraId="31C9597D" w14:textId="77777777" w:rsidR="00AC4E03" w:rsidRPr="005871E7" w:rsidRDefault="00000000" w:rsidP="005871E7">
      <w:pPr>
        <w:pStyle w:val="FirstParagraph"/>
        <w:spacing w:line="360" w:lineRule="auto"/>
        <w:jc w:val="both"/>
        <w:rPr>
          <w:rFonts w:ascii="Garamond" w:hAnsi="Garamond"/>
        </w:rPr>
      </w:pPr>
      <w:r w:rsidRPr="005871E7">
        <w:rPr>
          <w:rFonts w:ascii="Garamond" w:hAnsi="Garamond"/>
        </w:rPr>
        <w:t>The mean age of selected women of childbearing age (WCBA) was 27.7 years, with the age range spanning from 15 to 49 years. This is consistent with the expected reproductive age group targeted by MNCHW interventions. The mean age of household heads was 41.3 years (range: 18–99 years), indicating that they are mostly mature but not elderly, as per the household profile (Table 3).</w:t>
      </w:r>
    </w:p>
    <w:p w14:paraId="147AED2D" w14:textId="77777777" w:rsidR="00AC4E03" w:rsidRPr="005871E7" w:rsidRDefault="00000000" w:rsidP="005871E7">
      <w:pPr>
        <w:pStyle w:val="BodyText"/>
        <w:spacing w:line="360" w:lineRule="auto"/>
        <w:jc w:val="both"/>
        <w:rPr>
          <w:rFonts w:ascii="Garamond" w:hAnsi="Garamond"/>
        </w:rPr>
      </w:pPr>
      <w:r w:rsidRPr="005871E7">
        <w:rPr>
          <w:rFonts w:ascii="Garamond" w:hAnsi="Garamond"/>
          <w:b/>
          <w:bCs/>
        </w:rPr>
        <w:t>Table 3: Age Distribution of Selected Women and Household Heads</w:t>
      </w:r>
    </w:p>
    <w:tbl>
      <w:tblPr>
        <w:tblStyle w:val="Table"/>
        <w:tblW w:w="0" w:type="auto"/>
        <w:tblLook w:val="0020" w:firstRow="1" w:lastRow="0" w:firstColumn="0" w:lastColumn="0" w:noHBand="0" w:noVBand="0"/>
      </w:tblPr>
      <w:tblGrid>
        <w:gridCol w:w="1806"/>
        <w:gridCol w:w="1831"/>
        <w:gridCol w:w="594"/>
        <w:gridCol w:w="624"/>
      </w:tblGrid>
      <w:tr w:rsidR="00AC4E03" w:rsidRPr="005871E7" w14:paraId="1644E37B" w14:textId="77777777" w:rsidTr="00AC4E03">
        <w:trPr>
          <w:cnfStyle w:val="100000000000" w:firstRow="1" w:lastRow="0" w:firstColumn="0" w:lastColumn="0" w:oddVBand="0" w:evenVBand="0" w:oddHBand="0" w:evenHBand="0" w:firstRowFirstColumn="0" w:firstRowLastColumn="0" w:lastRowFirstColumn="0" w:lastRowLastColumn="0"/>
          <w:tblHeader/>
        </w:trPr>
        <w:tc>
          <w:tcPr>
            <w:tcW w:w="0" w:type="auto"/>
          </w:tcPr>
          <w:p w14:paraId="4AE985E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Group</w:t>
            </w:r>
          </w:p>
        </w:tc>
        <w:tc>
          <w:tcPr>
            <w:tcW w:w="0" w:type="auto"/>
          </w:tcPr>
          <w:p w14:paraId="7BC1DAD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Mean Age (years)</w:t>
            </w:r>
          </w:p>
        </w:tc>
        <w:tc>
          <w:tcPr>
            <w:tcW w:w="0" w:type="auto"/>
          </w:tcPr>
          <w:p w14:paraId="56F606C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Min</w:t>
            </w:r>
          </w:p>
        </w:tc>
        <w:tc>
          <w:tcPr>
            <w:tcW w:w="0" w:type="auto"/>
          </w:tcPr>
          <w:p w14:paraId="376E1C6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Max</w:t>
            </w:r>
          </w:p>
        </w:tc>
      </w:tr>
      <w:tr w:rsidR="00AC4E03" w:rsidRPr="005871E7" w14:paraId="394F6EA2" w14:textId="77777777">
        <w:tc>
          <w:tcPr>
            <w:tcW w:w="0" w:type="auto"/>
          </w:tcPr>
          <w:p w14:paraId="6BD7986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Selected WCBA</w:t>
            </w:r>
          </w:p>
        </w:tc>
        <w:tc>
          <w:tcPr>
            <w:tcW w:w="0" w:type="auto"/>
          </w:tcPr>
          <w:p w14:paraId="48FECCDC"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27.7</w:t>
            </w:r>
          </w:p>
        </w:tc>
        <w:tc>
          <w:tcPr>
            <w:tcW w:w="0" w:type="auto"/>
          </w:tcPr>
          <w:p w14:paraId="7205F02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15</w:t>
            </w:r>
          </w:p>
        </w:tc>
        <w:tc>
          <w:tcPr>
            <w:tcW w:w="0" w:type="auto"/>
          </w:tcPr>
          <w:p w14:paraId="68DB1F5F"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49</w:t>
            </w:r>
          </w:p>
        </w:tc>
      </w:tr>
      <w:tr w:rsidR="00AC4E03" w:rsidRPr="005871E7" w14:paraId="180DFED5" w14:textId="77777777">
        <w:tc>
          <w:tcPr>
            <w:tcW w:w="0" w:type="auto"/>
          </w:tcPr>
          <w:p w14:paraId="3753FEA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Household Head</w:t>
            </w:r>
          </w:p>
        </w:tc>
        <w:tc>
          <w:tcPr>
            <w:tcW w:w="0" w:type="auto"/>
          </w:tcPr>
          <w:p w14:paraId="2C5C9F7D"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41.3</w:t>
            </w:r>
          </w:p>
        </w:tc>
        <w:tc>
          <w:tcPr>
            <w:tcW w:w="0" w:type="auto"/>
          </w:tcPr>
          <w:p w14:paraId="785F43F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18</w:t>
            </w:r>
          </w:p>
        </w:tc>
        <w:tc>
          <w:tcPr>
            <w:tcW w:w="0" w:type="auto"/>
          </w:tcPr>
          <w:p w14:paraId="79BE63F7"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99</w:t>
            </w:r>
          </w:p>
        </w:tc>
      </w:tr>
    </w:tbl>
    <w:p w14:paraId="6BF5EDD8" w14:textId="77777777" w:rsidR="00AC4E03" w:rsidRPr="005871E7" w:rsidRDefault="00000000" w:rsidP="005871E7">
      <w:pPr>
        <w:pStyle w:val="Heading2"/>
        <w:spacing w:line="360" w:lineRule="auto"/>
        <w:jc w:val="both"/>
        <w:rPr>
          <w:rFonts w:ascii="Garamond" w:hAnsi="Garamond"/>
        </w:rPr>
      </w:pPr>
      <w:bookmarkStart w:id="46" w:name="sex-of-household-head"/>
      <w:bookmarkStart w:id="47" w:name="_Toc201569006"/>
      <w:bookmarkEnd w:id="44"/>
      <w:r w:rsidRPr="005871E7">
        <w:rPr>
          <w:rFonts w:ascii="Garamond" w:hAnsi="Garamond"/>
        </w:rPr>
        <w:t>4. Sex of Household Head</w:t>
      </w:r>
      <w:bookmarkEnd w:id="47"/>
    </w:p>
    <w:p w14:paraId="54B267B6" w14:textId="77777777" w:rsidR="00AC4E03" w:rsidRPr="005871E7" w:rsidRDefault="00000000" w:rsidP="005871E7">
      <w:pPr>
        <w:pStyle w:val="FirstParagraph"/>
        <w:spacing w:line="360" w:lineRule="auto"/>
        <w:jc w:val="both"/>
        <w:rPr>
          <w:rFonts w:ascii="Garamond" w:hAnsi="Garamond"/>
        </w:rPr>
      </w:pPr>
      <w:r w:rsidRPr="005871E7">
        <w:rPr>
          <w:rFonts w:ascii="Garamond" w:hAnsi="Garamond"/>
        </w:rPr>
        <w:t>Males predominated as heads of household, accounting for 97.3% (n = 7,843), while females constituted only 2.7% (n = 221).</w:t>
      </w:r>
    </w:p>
    <w:p w14:paraId="5B418EDA" w14:textId="77777777" w:rsidR="00AC4E03" w:rsidRPr="005871E7" w:rsidRDefault="00000000" w:rsidP="005871E7">
      <w:pPr>
        <w:pStyle w:val="BodyText"/>
        <w:spacing w:line="360" w:lineRule="auto"/>
        <w:jc w:val="both"/>
        <w:rPr>
          <w:rFonts w:ascii="Garamond" w:hAnsi="Garamond"/>
        </w:rPr>
      </w:pPr>
      <w:r w:rsidRPr="005871E7">
        <w:rPr>
          <w:rFonts w:ascii="Garamond" w:hAnsi="Garamond"/>
          <w:b/>
          <w:bCs/>
        </w:rPr>
        <w:t>Table 4: Sex Distribution of Household Heads</w:t>
      </w:r>
    </w:p>
    <w:tbl>
      <w:tblPr>
        <w:tblStyle w:val="Table"/>
        <w:tblW w:w="0" w:type="auto"/>
        <w:tblLook w:val="0020" w:firstRow="1" w:lastRow="0" w:firstColumn="0" w:lastColumn="0" w:noHBand="0" w:noVBand="0"/>
      </w:tblPr>
      <w:tblGrid>
        <w:gridCol w:w="889"/>
        <w:gridCol w:w="1189"/>
        <w:gridCol w:w="924"/>
      </w:tblGrid>
      <w:tr w:rsidR="00AC4E03" w:rsidRPr="005871E7" w14:paraId="298DF2C7" w14:textId="77777777" w:rsidTr="00AC4E03">
        <w:trPr>
          <w:cnfStyle w:val="100000000000" w:firstRow="1" w:lastRow="0" w:firstColumn="0" w:lastColumn="0" w:oddVBand="0" w:evenVBand="0" w:oddHBand="0" w:evenHBand="0" w:firstRowFirstColumn="0" w:firstRowLastColumn="0" w:lastRowFirstColumn="0" w:lastRowLastColumn="0"/>
          <w:tblHeader/>
        </w:trPr>
        <w:tc>
          <w:tcPr>
            <w:tcW w:w="0" w:type="auto"/>
          </w:tcPr>
          <w:p w14:paraId="7D1223F3"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Sex</w:t>
            </w:r>
          </w:p>
        </w:tc>
        <w:tc>
          <w:tcPr>
            <w:tcW w:w="0" w:type="auto"/>
          </w:tcPr>
          <w:p w14:paraId="3BFA0A8D"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Frequency</w:t>
            </w:r>
          </w:p>
        </w:tc>
        <w:tc>
          <w:tcPr>
            <w:tcW w:w="0" w:type="auto"/>
          </w:tcPr>
          <w:p w14:paraId="0273A50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Percent</w:t>
            </w:r>
          </w:p>
        </w:tc>
      </w:tr>
      <w:tr w:rsidR="00AC4E03" w:rsidRPr="005871E7" w14:paraId="1364CD56" w14:textId="77777777">
        <w:tc>
          <w:tcPr>
            <w:tcW w:w="0" w:type="auto"/>
          </w:tcPr>
          <w:p w14:paraId="45A786D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Male</w:t>
            </w:r>
          </w:p>
        </w:tc>
        <w:tc>
          <w:tcPr>
            <w:tcW w:w="0" w:type="auto"/>
          </w:tcPr>
          <w:p w14:paraId="46ED196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7,843</w:t>
            </w:r>
          </w:p>
        </w:tc>
        <w:tc>
          <w:tcPr>
            <w:tcW w:w="0" w:type="auto"/>
          </w:tcPr>
          <w:p w14:paraId="10F49E2D"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97.3%</w:t>
            </w:r>
          </w:p>
        </w:tc>
      </w:tr>
      <w:tr w:rsidR="00AC4E03" w:rsidRPr="005871E7" w14:paraId="14689F4E" w14:textId="77777777">
        <w:tc>
          <w:tcPr>
            <w:tcW w:w="0" w:type="auto"/>
          </w:tcPr>
          <w:p w14:paraId="1D261D6F"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Female</w:t>
            </w:r>
          </w:p>
        </w:tc>
        <w:tc>
          <w:tcPr>
            <w:tcW w:w="0" w:type="auto"/>
          </w:tcPr>
          <w:p w14:paraId="5A43DFD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221</w:t>
            </w:r>
          </w:p>
        </w:tc>
        <w:tc>
          <w:tcPr>
            <w:tcW w:w="0" w:type="auto"/>
          </w:tcPr>
          <w:p w14:paraId="78EF6E5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2.7%</w:t>
            </w:r>
          </w:p>
        </w:tc>
      </w:tr>
    </w:tbl>
    <w:p w14:paraId="0CB42085" w14:textId="77777777" w:rsidR="00AC4E03" w:rsidRPr="005871E7" w:rsidRDefault="00000000" w:rsidP="005871E7">
      <w:pPr>
        <w:pStyle w:val="BodyText"/>
        <w:spacing w:line="360" w:lineRule="auto"/>
        <w:jc w:val="both"/>
        <w:rPr>
          <w:rFonts w:ascii="Garamond" w:hAnsi="Garamond"/>
        </w:rPr>
      </w:pPr>
      <w:r w:rsidRPr="005871E7">
        <w:rPr>
          <w:rFonts w:ascii="Garamond" w:hAnsi="Garamond"/>
          <w:noProof/>
        </w:rPr>
        <w:lastRenderedPageBreak/>
        <w:drawing>
          <wp:inline distT="0" distB="0" distL="0" distR="0" wp14:anchorId="4826467C" wp14:editId="7F6AEC8B">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MC-SMCVAS-Baseline-Analysis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sidRPr="005871E7">
        <w:rPr>
          <w:rFonts w:ascii="Garamond" w:hAnsi="Garamond"/>
        </w:rPr>
        <w:t xml:space="preserve"> ## 5. Employment and Occupation of Household Head</w:t>
      </w:r>
    </w:p>
    <w:p w14:paraId="75505618" w14:textId="77777777" w:rsidR="00AC4E03" w:rsidRPr="005871E7" w:rsidRDefault="00000000" w:rsidP="005871E7">
      <w:pPr>
        <w:pStyle w:val="BodyText"/>
        <w:spacing w:line="360" w:lineRule="auto"/>
        <w:jc w:val="both"/>
        <w:rPr>
          <w:rFonts w:ascii="Garamond" w:hAnsi="Garamond"/>
        </w:rPr>
      </w:pPr>
      <w:r w:rsidRPr="005871E7">
        <w:rPr>
          <w:rFonts w:ascii="Garamond" w:hAnsi="Garamond"/>
        </w:rPr>
        <w:t>A substantial proportion of the surveyed household heads (73.9%) were self-employed, mainly in informal jobs like farming and petty trading. Formal jobs are less common (12.9%), and 13.2% are unemployed. The most common occupation is farming (41.0%), followed by trading (18.8%), civil service (8.3%), cattle rearing (5.2%), and technical trades (3.3%). Fishing is rare (0.7%). These results highlight the area’s focus on agriculture and suggest that changes in seasons could influence participation in health campaigns.</w:t>
      </w:r>
    </w:p>
    <w:p w14:paraId="2603D75F" w14:textId="77777777" w:rsidR="00AC4E03" w:rsidRPr="005871E7" w:rsidRDefault="00000000" w:rsidP="005871E7">
      <w:pPr>
        <w:pStyle w:val="BodyText"/>
        <w:spacing w:line="360" w:lineRule="auto"/>
        <w:jc w:val="both"/>
        <w:rPr>
          <w:rFonts w:ascii="Garamond" w:hAnsi="Garamond"/>
        </w:rPr>
      </w:pPr>
      <w:r w:rsidRPr="005871E7">
        <w:rPr>
          <w:rFonts w:ascii="Garamond" w:hAnsi="Garamond"/>
          <w:b/>
          <w:bCs/>
        </w:rPr>
        <w:t>Table 5: Occupation of Household Head</w:t>
      </w:r>
    </w:p>
    <w:tbl>
      <w:tblPr>
        <w:tblStyle w:val="Table"/>
        <w:tblW w:w="0" w:type="auto"/>
        <w:tblLook w:val="0020" w:firstRow="1" w:lastRow="0" w:firstColumn="0" w:lastColumn="0" w:noHBand="0" w:noVBand="0"/>
      </w:tblPr>
      <w:tblGrid>
        <w:gridCol w:w="2006"/>
        <w:gridCol w:w="1321"/>
        <w:gridCol w:w="1189"/>
      </w:tblGrid>
      <w:tr w:rsidR="00AC4E03" w:rsidRPr="005871E7" w14:paraId="538115C9" w14:textId="77777777" w:rsidTr="00AC4E03">
        <w:trPr>
          <w:cnfStyle w:val="100000000000" w:firstRow="1" w:lastRow="0" w:firstColumn="0" w:lastColumn="0" w:oddVBand="0" w:evenVBand="0" w:oddHBand="0" w:evenHBand="0" w:firstRowFirstColumn="0" w:firstRowLastColumn="0" w:lastRowFirstColumn="0" w:lastRowLastColumn="0"/>
          <w:tblHeader/>
        </w:trPr>
        <w:tc>
          <w:tcPr>
            <w:tcW w:w="0" w:type="auto"/>
          </w:tcPr>
          <w:p w14:paraId="7C6A2CB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HH_Occupation</w:t>
            </w:r>
          </w:p>
        </w:tc>
        <w:tc>
          <w:tcPr>
            <w:tcW w:w="0" w:type="auto"/>
          </w:tcPr>
          <w:p w14:paraId="1041E363"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Percent (%)</w:t>
            </w:r>
          </w:p>
        </w:tc>
        <w:tc>
          <w:tcPr>
            <w:tcW w:w="0" w:type="auto"/>
          </w:tcPr>
          <w:p w14:paraId="4ABD195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Frequency</w:t>
            </w:r>
          </w:p>
        </w:tc>
      </w:tr>
      <w:tr w:rsidR="00AC4E03" w:rsidRPr="005871E7" w14:paraId="3D151E8F" w14:textId="77777777">
        <w:tc>
          <w:tcPr>
            <w:tcW w:w="0" w:type="auto"/>
          </w:tcPr>
          <w:p w14:paraId="1A2DA64D"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Farming</w:t>
            </w:r>
          </w:p>
        </w:tc>
        <w:tc>
          <w:tcPr>
            <w:tcW w:w="0" w:type="auto"/>
          </w:tcPr>
          <w:p w14:paraId="64518920"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41.0</w:t>
            </w:r>
          </w:p>
        </w:tc>
        <w:tc>
          <w:tcPr>
            <w:tcW w:w="0" w:type="auto"/>
          </w:tcPr>
          <w:p w14:paraId="27067076"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3310</w:t>
            </w:r>
          </w:p>
        </w:tc>
      </w:tr>
      <w:tr w:rsidR="00AC4E03" w:rsidRPr="005871E7" w14:paraId="6852D1C3" w14:textId="77777777">
        <w:tc>
          <w:tcPr>
            <w:tcW w:w="0" w:type="auto"/>
          </w:tcPr>
          <w:p w14:paraId="6E42168F"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Trading</w:t>
            </w:r>
          </w:p>
        </w:tc>
        <w:tc>
          <w:tcPr>
            <w:tcW w:w="0" w:type="auto"/>
          </w:tcPr>
          <w:p w14:paraId="7868582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18.8</w:t>
            </w:r>
          </w:p>
        </w:tc>
        <w:tc>
          <w:tcPr>
            <w:tcW w:w="0" w:type="auto"/>
          </w:tcPr>
          <w:p w14:paraId="560A685E"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1516</w:t>
            </w:r>
          </w:p>
        </w:tc>
      </w:tr>
      <w:tr w:rsidR="00AC4E03" w:rsidRPr="005871E7" w14:paraId="3224B62F" w14:textId="77777777">
        <w:tc>
          <w:tcPr>
            <w:tcW w:w="0" w:type="auto"/>
          </w:tcPr>
          <w:p w14:paraId="4C460A1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Civil Servant</w:t>
            </w:r>
          </w:p>
        </w:tc>
        <w:tc>
          <w:tcPr>
            <w:tcW w:w="0" w:type="auto"/>
          </w:tcPr>
          <w:p w14:paraId="35FE15E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8.3</w:t>
            </w:r>
          </w:p>
        </w:tc>
        <w:tc>
          <w:tcPr>
            <w:tcW w:w="0" w:type="auto"/>
          </w:tcPr>
          <w:p w14:paraId="6F9B414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669</w:t>
            </w:r>
          </w:p>
        </w:tc>
      </w:tr>
      <w:tr w:rsidR="00AC4E03" w:rsidRPr="005871E7" w14:paraId="2F640D32" w14:textId="77777777">
        <w:tc>
          <w:tcPr>
            <w:tcW w:w="0" w:type="auto"/>
          </w:tcPr>
          <w:p w14:paraId="456DFE1E"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Cattle rearing</w:t>
            </w:r>
          </w:p>
        </w:tc>
        <w:tc>
          <w:tcPr>
            <w:tcW w:w="0" w:type="auto"/>
          </w:tcPr>
          <w:p w14:paraId="27BAA4F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5.2</w:t>
            </w:r>
          </w:p>
        </w:tc>
        <w:tc>
          <w:tcPr>
            <w:tcW w:w="0" w:type="auto"/>
          </w:tcPr>
          <w:p w14:paraId="3E571F9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418</w:t>
            </w:r>
          </w:p>
        </w:tc>
      </w:tr>
      <w:tr w:rsidR="00AC4E03" w:rsidRPr="005871E7" w14:paraId="29F16586" w14:textId="77777777">
        <w:tc>
          <w:tcPr>
            <w:tcW w:w="0" w:type="auto"/>
          </w:tcPr>
          <w:p w14:paraId="2C5AFE1F"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Technician</w:t>
            </w:r>
          </w:p>
        </w:tc>
        <w:tc>
          <w:tcPr>
            <w:tcW w:w="0" w:type="auto"/>
          </w:tcPr>
          <w:p w14:paraId="39D3C5A0"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3.3</w:t>
            </w:r>
          </w:p>
        </w:tc>
        <w:tc>
          <w:tcPr>
            <w:tcW w:w="0" w:type="auto"/>
          </w:tcPr>
          <w:p w14:paraId="0C516737"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270</w:t>
            </w:r>
          </w:p>
        </w:tc>
      </w:tr>
      <w:tr w:rsidR="00AC4E03" w:rsidRPr="005871E7" w14:paraId="5DB9A8DD" w14:textId="77777777">
        <w:tc>
          <w:tcPr>
            <w:tcW w:w="0" w:type="auto"/>
          </w:tcPr>
          <w:p w14:paraId="2CD09687"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lastRenderedPageBreak/>
              <w:t>Fishing</w:t>
            </w:r>
          </w:p>
        </w:tc>
        <w:tc>
          <w:tcPr>
            <w:tcW w:w="0" w:type="auto"/>
          </w:tcPr>
          <w:p w14:paraId="592B928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0.7</w:t>
            </w:r>
          </w:p>
        </w:tc>
        <w:tc>
          <w:tcPr>
            <w:tcW w:w="0" w:type="auto"/>
          </w:tcPr>
          <w:p w14:paraId="77A05A6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59</w:t>
            </w:r>
          </w:p>
        </w:tc>
      </w:tr>
      <w:tr w:rsidR="00AC4E03" w:rsidRPr="005871E7" w14:paraId="486E3F8B" w14:textId="77777777">
        <w:tc>
          <w:tcPr>
            <w:tcW w:w="0" w:type="auto"/>
          </w:tcPr>
          <w:p w14:paraId="36901900"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Other/Unspecified</w:t>
            </w:r>
          </w:p>
        </w:tc>
        <w:tc>
          <w:tcPr>
            <w:tcW w:w="0" w:type="auto"/>
          </w:tcPr>
          <w:p w14:paraId="511BF25C"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9.4</w:t>
            </w:r>
          </w:p>
        </w:tc>
        <w:tc>
          <w:tcPr>
            <w:tcW w:w="0" w:type="auto"/>
          </w:tcPr>
          <w:p w14:paraId="382D99B3"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758</w:t>
            </w:r>
          </w:p>
        </w:tc>
      </w:tr>
    </w:tbl>
    <w:p w14:paraId="48889754" w14:textId="77777777" w:rsidR="00AC4E03" w:rsidRPr="005871E7" w:rsidRDefault="00000000" w:rsidP="005871E7">
      <w:pPr>
        <w:pStyle w:val="BodyText"/>
        <w:spacing w:line="360" w:lineRule="auto"/>
        <w:jc w:val="both"/>
        <w:rPr>
          <w:rFonts w:ascii="Garamond" w:hAnsi="Garamond"/>
        </w:rPr>
      </w:pPr>
      <w:r w:rsidRPr="005871E7">
        <w:rPr>
          <w:rFonts w:ascii="Garamond" w:hAnsi="Garamond"/>
          <w:b/>
          <w:bCs/>
        </w:rPr>
        <w:t>Table 6: Employment of Household Head</w:t>
      </w:r>
    </w:p>
    <w:tbl>
      <w:tblPr>
        <w:tblStyle w:val="Table"/>
        <w:tblW w:w="0" w:type="auto"/>
        <w:tblLook w:val="0020" w:firstRow="1" w:lastRow="0" w:firstColumn="0" w:lastColumn="0" w:noHBand="0" w:noVBand="0"/>
      </w:tblPr>
      <w:tblGrid>
        <w:gridCol w:w="2104"/>
        <w:gridCol w:w="1321"/>
        <w:gridCol w:w="1189"/>
      </w:tblGrid>
      <w:tr w:rsidR="00AC4E03" w:rsidRPr="005871E7" w14:paraId="424FDD6E" w14:textId="77777777" w:rsidTr="00AC4E03">
        <w:trPr>
          <w:cnfStyle w:val="100000000000" w:firstRow="1" w:lastRow="0" w:firstColumn="0" w:lastColumn="0" w:oddVBand="0" w:evenVBand="0" w:oddHBand="0" w:evenHBand="0" w:firstRowFirstColumn="0" w:firstRowLastColumn="0" w:lastRowFirstColumn="0" w:lastRowLastColumn="0"/>
          <w:tblHeader/>
        </w:trPr>
        <w:tc>
          <w:tcPr>
            <w:tcW w:w="0" w:type="auto"/>
          </w:tcPr>
          <w:p w14:paraId="3B22579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HHH_Employment</w:t>
            </w:r>
          </w:p>
        </w:tc>
        <w:tc>
          <w:tcPr>
            <w:tcW w:w="0" w:type="auto"/>
          </w:tcPr>
          <w:p w14:paraId="2F863EA7"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Percent (%)</w:t>
            </w:r>
          </w:p>
        </w:tc>
        <w:tc>
          <w:tcPr>
            <w:tcW w:w="0" w:type="auto"/>
          </w:tcPr>
          <w:p w14:paraId="4C1E5280"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Frequency</w:t>
            </w:r>
          </w:p>
        </w:tc>
      </w:tr>
      <w:tr w:rsidR="00AC4E03" w:rsidRPr="005871E7" w14:paraId="547C8B56" w14:textId="77777777">
        <w:tc>
          <w:tcPr>
            <w:tcW w:w="0" w:type="auto"/>
          </w:tcPr>
          <w:p w14:paraId="0CEE922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Employment</w:t>
            </w:r>
          </w:p>
        </w:tc>
        <w:tc>
          <w:tcPr>
            <w:tcW w:w="0" w:type="auto"/>
          </w:tcPr>
          <w:p w14:paraId="37692600"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12.9</w:t>
            </w:r>
          </w:p>
        </w:tc>
        <w:tc>
          <w:tcPr>
            <w:tcW w:w="0" w:type="auto"/>
          </w:tcPr>
          <w:p w14:paraId="57E3AD4F"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1040</w:t>
            </w:r>
          </w:p>
        </w:tc>
      </w:tr>
      <w:tr w:rsidR="00AC4E03" w:rsidRPr="005871E7" w14:paraId="3AAB4F38" w14:textId="77777777">
        <w:tc>
          <w:tcPr>
            <w:tcW w:w="0" w:type="auto"/>
          </w:tcPr>
          <w:p w14:paraId="48FA41B3"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Self-employment</w:t>
            </w:r>
          </w:p>
        </w:tc>
        <w:tc>
          <w:tcPr>
            <w:tcW w:w="0" w:type="auto"/>
          </w:tcPr>
          <w:p w14:paraId="43B7599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73.9</w:t>
            </w:r>
          </w:p>
        </w:tc>
        <w:tc>
          <w:tcPr>
            <w:tcW w:w="0" w:type="auto"/>
          </w:tcPr>
          <w:p w14:paraId="6BF5402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5960</w:t>
            </w:r>
          </w:p>
        </w:tc>
      </w:tr>
      <w:tr w:rsidR="00AC4E03" w:rsidRPr="005871E7" w14:paraId="77658F90" w14:textId="77777777">
        <w:tc>
          <w:tcPr>
            <w:tcW w:w="0" w:type="auto"/>
          </w:tcPr>
          <w:p w14:paraId="590AE797"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Unemployed</w:t>
            </w:r>
          </w:p>
        </w:tc>
        <w:tc>
          <w:tcPr>
            <w:tcW w:w="0" w:type="auto"/>
          </w:tcPr>
          <w:p w14:paraId="12637A4E"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13.2</w:t>
            </w:r>
          </w:p>
        </w:tc>
        <w:tc>
          <w:tcPr>
            <w:tcW w:w="0" w:type="auto"/>
          </w:tcPr>
          <w:p w14:paraId="0D57ABC6"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1064</w:t>
            </w:r>
          </w:p>
        </w:tc>
      </w:tr>
    </w:tbl>
    <w:p w14:paraId="0E416FD7" w14:textId="77777777" w:rsidR="00AC4E03" w:rsidRPr="005871E7" w:rsidRDefault="00000000" w:rsidP="005871E7">
      <w:pPr>
        <w:pStyle w:val="BodyText"/>
        <w:spacing w:line="360" w:lineRule="auto"/>
        <w:jc w:val="both"/>
        <w:rPr>
          <w:rFonts w:ascii="Garamond" w:hAnsi="Garamond"/>
        </w:rPr>
      </w:pPr>
      <w:r w:rsidRPr="005871E7">
        <w:rPr>
          <w:rFonts w:ascii="Garamond" w:hAnsi="Garamond"/>
          <w:noProof/>
        </w:rPr>
        <w:drawing>
          <wp:inline distT="0" distB="0" distL="0" distR="0" wp14:anchorId="4401871C" wp14:editId="09A90555">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MC-SMCVAS-Baseline-Analysis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sidRPr="005871E7">
        <w:rPr>
          <w:rFonts w:ascii="Garamond" w:hAnsi="Garamond"/>
        </w:rPr>
        <w:t xml:space="preserve"> ## 6. Educational Status of Household Head Slightly more than half (53.2%) of household heads had ever attended school, whereas 46.8% had never attended any formal education. Among those who had some education, secondary (22.9%) and higher/tertiary education (14.9%) were most frequently reported, with a smaller proportion attaining primary (13.1%) or pre-primary education (1.2%). Notably, 1.0% of respondents were unable to specify the highest education level of the household head (Table 5). The high proportion of uneducated household heads signals potential challenges in communication </w:t>
      </w:r>
      <w:r w:rsidRPr="005871E7">
        <w:rPr>
          <w:rFonts w:ascii="Garamond" w:hAnsi="Garamond"/>
        </w:rPr>
        <w:lastRenderedPageBreak/>
        <w:t>and comprehension of health messages, which could in turn influence uptake of SMC, VAS, and other MNCHW interventions. However, the substantial presence of secondary and tertiary education suggests opportunities for leveraging literate household members as health promotion champions.</w:t>
      </w:r>
    </w:p>
    <w:p w14:paraId="7F6C4D90" w14:textId="77777777" w:rsidR="00AC4E03" w:rsidRPr="005871E7" w:rsidRDefault="00000000" w:rsidP="005871E7">
      <w:pPr>
        <w:pStyle w:val="Heading2"/>
        <w:spacing w:line="360" w:lineRule="auto"/>
        <w:jc w:val="both"/>
        <w:rPr>
          <w:rFonts w:ascii="Garamond" w:hAnsi="Garamond"/>
        </w:rPr>
      </w:pPr>
      <w:bookmarkStart w:id="48" w:name="education-level-of-household-heads"/>
      <w:bookmarkStart w:id="49" w:name="_Toc201569007"/>
      <w:bookmarkEnd w:id="46"/>
      <w:r w:rsidRPr="005871E7">
        <w:rPr>
          <w:rFonts w:ascii="Garamond" w:hAnsi="Garamond"/>
        </w:rPr>
        <w:t>Education Level of Household Heads</w:t>
      </w:r>
      <w:bookmarkEnd w:id="49"/>
    </w:p>
    <w:tbl>
      <w:tblPr>
        <w:tblStyle w:val="Table"/>
        <w:tblW w:w="0" w:type="auto"/>
        <w:tblLook w:val="0020" w:firstRow="1" w:lastRow="0" w:firstColumn="0" w:lastColumn="0" w:noHBand="0" w:noVBand="0"/>
      </w:tblPr>
      <w:tblGrid>
        <w:gridCol w:w="2614"/>
        <w:gridCol w:w="1189"/>
        <w:gridCol w:w="1321"/>
      </w:tblGrid>
      <w:tr w:rsidR="00AC4E03" w:rsidRPr="005871E7" w14:paraId="54394ECB" w14:textId="77777777" w:rsidTr="00AC4E03">
        <w:trPr>
          <w:cnfStyle w:val="100000000000" w:firstRow="1" w:lastRow="0" w:firstColumn="0" w:lastColumn="0" w:oddVBand="0" w:evenVBand="0" w:oddHBand="0" w:evenHBand="0" w:firstRowFirstColumn="0" w:firstRowLastColumn="0" w:lastRowFirstColumn="0" w:lastRowLastColumn="0"/>
          <w:tblHeader/>
        </w:trPr>
        <w:tc>
          <w:tcPr>
            <w:tcW w:w="0" w:type="auto"/>
          </w:tcPr>
          <w:p w14:paraId="78E891EF"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Education Level</w:t>
            </w:r>
          </w:p>
        </w:tc>
        <w:tc>
          <w:tcPr>
            <w:tcW w:w="0" w:type="auto"/>
          </w:tcPr>
          <w:p w14:paraId="0D336B26"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Frequency</w:t>
            </w:r>
          </w:p>
        </w:tc>
        <w:tc>
          <w:tcPr>
            <w:tcW w:w="0" w:type="auto"/>
          </w:tcPr>
          <w:p w14:paraId="08A244E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Percent (%)</w:t>
            </w:r>
          </w:p>
        </w:tc>
      </w:tr>
      <w:tr w:rsidR="00AC4E03" w:rsidRPr="005871E7" w14:paraId="79DC22E9" w14:textId="77777777">
        <w:tc>
          <w:tcPr>
            <w:tcW w:w="0" w:type="auto"/>
          </w:tcPr>
          <w:p w14:paraId="3590A08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Don’t Know</w:t>
            </w:r>
          </w:p>
        </w:tc>
        <w:tc>
          <w:tcPr>
            <w:tcW w:w="0" w:type="auto"/>
          </w:tcPr>
          <w:p w14:paraId="086B52A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80</w:t>
            </w:r>
          </w:p>
        </w:tc>
        <w:tc>
          <w:tcPr>
            <w:tcW w:w="0" w:type="auto"/>
          </w:tcPr>
          <w:p w14:paraId="184DC06F"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1.0</w:t>
            </w:r>
          </w:p>
        </w:tc>
      </w:tr>
      <w:tr w:rsidR="00AC4E03" w:rsidRPr="005871E7" w14:paraId="78213986" w14:textId="77777777">
        <w:tc>
          <w:tcPr>
            <w:tcW w:w="0" w:type="auto"/>
          </w:tcPr>
          <w:p w14:paraId="0D34348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Higher</w:t>
            </w:r>
          </w:p>
        </w:tc>
        <w:tc>
          <w:tcPr>
            <w:tcW w:w="0" w:type="auto"/>
          </w:tcPr>
          <w:p w14:paraId="26CF66C6"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1205</w:t>
            </w:r>
          </w:p>
        </w:tc>
        <w:tc>
          <w:tcPr>
            <w:tcW w:w="0" w:type="auto"/>
          </w:tcPr>
          <w:p w14:paraId="7DA683F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14.9</w:t>
            </w:r>
          </w:p>
        </w:tc>
      </w:tr>
      <w:tr w:rsidR="00AC4E03" w:rsidRPr="005871E7" w14:paraId="3F470338" w14:textId="77777777">
        <w:tc>
          <w:tcPr>
            <w:tcW w:w="0" w:type="auto"/>
          </w:tcPr>
          <w:p w14:paraId="2DA8BCB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Pre-primary/kindergarten</w:t>
            </w:r>
          </w:p>
        </w:tc>
        <w:tc>
          <w:tcPr>
            <w:tcW w:w="0" w:type="auto"/>
          </w:tcPr>
          <w:p w14:paraId="3D5BCB9C"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94</w:t>
            </w:r>
          </w:p>
        </w:tc>
        <w:tc>
          <w:tcPr>
            <w:tcW w:w="0" w:type="auto"/>
          </w:tcPr>
          <w:p w14:paraId="059EFC70"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1.2</w:t>
            </w:r>
          </w:p>
        </w:tc>
      </w:tr>
      <w:tr w:rsidR="00AC4E03" w:rsidRPr="005871E7" w14:paraId="326358C9" w14:textId="77777777">
        <w:tc>
          <w:tcPr>
            <w:tcW w:w="0" w:type="auto"/>
          </w:tcPr>
          <w:p w14:paraId="22534D7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Primary</w:t>
            </w:r>
          </w:p>
        </w:tc>
        <w:tc>
          <w:tcPr>
            <w:tcW w:w="0" w:type="auto"/>
          </w:tcPr>
          <w:p w14:paraId="70CFAB10"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1060</w:t>
            </w:r>
          </w:p>
        </w:tc>
        <w:tc>
          <w:tcPr>
            <w:tcW w:w="0" w:type="auto"/>
          </w:tcPr>
          <w:p w14:paraId="69E2870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13.1</w:t>
            </w:r>
          </w:p>
        </w:tc>
      </w:tr>
      <w:tr w:rsidR="00AC4E03" w:rsidRPr="005871E7" w14:paraId="5A82C6EB" w14:textId="77777777">
        <w:tc>
          <w:tcPr>
            <w:tcW w:w="0" w:type="auto"/>
          </w:tcPr>
          <w:p w14:paraId="2851DBCE"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Secondary</w:t>
            </w:r>
          </w:p>
        </w:tc>
        <w:tc>
          <w:tcPr>
            <w:tcW w:w="0" w:type="auto"/>
          </w:tcPr>
          <w:p w14:paraId="676A3DEF"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1848</w:t>
            </w:r>
          </w:p>
        </w:tc>
        <w:tc>
          <w:tcPr>
            <w:tcW w:w="0" w:type="auto"/>
          </w:tcPr>
          <w:p w14:paraId="71D6DA5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22.9</w:t>
            </w:r>
          </w:p>
        </w:tc>
      </w:tr>
      <w:tr w:rsidR="00AC4E03" w:rsidRPr="005871E7" w14:paraId="3B145457" w14:textId="77777777">
        <w:tc>
          <w:tcPr>
            <w:tcW w:w="0" w:type="auto"/>
          </w:tcPr>
          <w:p w14:paraId="66160FB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Unspecified (NA)</w:t>
            </w:r>
          </w:p>
        </w:tc>
        <w:tc>
          <w:tcPr>
            <w:tcW w:w="0" w:type="auto"/>
          </w:tcPr>
          <w:p w14:paraId="7764EFD6"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3777</w:t>
            </w:r>
          </w:p>
        </w:tc>
        <w:tc>
          <w:tcPr>
            <w:tcW w:w="0" w:type="auto"/>
          </w:tcPr>
          <w:p w14:paraId="7651CC37"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46.8</w:t>
            </w:r>
          </w:p>
        </w:tc>
      </w:tr>
    </w:tbl>
    <w:p w14:paraId="15F458E9" w14:textId="77777777" w:rsidR="00AC4E03" w:rsidRPr="005871E7" w:rsidRDefault="00000000" w:rsidP="005871E7">
      <w:pPr>
        <w:pStyle w:val="BodyText"/>
        <w:spacing w:line="360" w:lineRule="auto"/>
        <w:jc w:val="both"/>
        <w:rPr>
          <w:rFonts w:ascii="Garamond" w:hAnsi="Garamond"/>
        </w:rPr>
      </w:pPr>
      <w:r w:rsidRPr="005871E7">
        <w:rPr>
          <w:rFonts w:ascii="Garamond" w:hAnsi="Garamond"/>
          <w:noProof/>
        </w:rPr>
        <w:drawing>
          <wp:inline distT="0" distB="0" distL="0" distR="0" wp14:anchorId="343E3E49" wp14:editId="52E83708">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MC-SMCVAS-Baseline-Analysis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ED73EF9" w14:textId="77777777" w:rsidR="00AC4E03" w:rsidRPr="005871E7" w:rsidRDefault="00000000" w:rsidP="005871E7">
      <w:pPr>
        <w:pStyle w:val="Heading2"/>
        <w:spacing w:line="360" w:lineRule="auto"/>
        <w:jc w:val="both"/>
        <w:rPr>
          <w:rFonts w:ascii="Garamond" w:hAnsi="Garamond"/>
        </w:rPr>
      </w:pPr>
      <w:bookmarkStart w:id="50" w:name="wealth-index-analysis"/>
      <w:bookmarkStart w:id="51" w:name="_Toc201569010"/>
      <w:bookmarkEnd w:id="48"/>
      <w:r w:rsidRPr="005871E7">
        <w:rPr>
          <w:rFonts w:ascii="Garamond" w:hAnsi="Garamond"/>
        </w:rPr>
        <w:lastRenderedPageBreak/>
        <w:t>Wealth Index Analysis</w:t>
      </w:r>
      <w:bookmarkEnd w:id="51"/>
    </w:p>
    <w:p w14:paraId="5297C460" w14:textId="77777777" w:rsidR="00AC4E03" w:rsidRPr="005871E7" w:rsidRDefault="00000000" w:rsidP="005871E7">
      <w:pPr>
        <w:pStyle w:val="Heading3"/>
        <w:spacing w:line="360" w:lineRule="auto"/>
        <w:jc w:val="both"/>
        <w:rPr>
          <w:rFonts w:ascii="Garamond" w:hAnsi="Garamond"/>
        </w:rPr>
      </w:pPr>
      <w:bookmarkStart w:id="52" w:name="X981bb857b86d00c69cad0690b69d300dc42e63a"/>
      <w:r w:rsidRPr="005871E7">
        <w:rPr>
          <w:rFonts w:ascii="Garamond" w:hAnsi="Garamond"/>
        </w:rPr>
        <w:t>VAS, Deworming, MUAC, and Immunization Coverage by Wealth Quintile</w:t>
      </w:r>
    </w:p>
    <w:p w14:paraId="235582B3" w14:textId="77777777" w:rsidR="00AC4E03" w:rsidRPr="005871E7" w:rsidRDefault="00000000" w:rsidP="005871E7">
      <w:pPr>
        <w:pStyle w:val="FirstParagraph"/>
        <w:spacing w:line="360" w:lineRule="auto"/>
        <w:jc w:val="both"/>
        <w:rPr>
          <w:rFonts w:ascii="Garamond" w:hAnsi="Garamond"/>
        </w:rPr>
      </w:pPr>
      <w:r w:rsidRPr="005871E7">
        <w:rPr>
          <w:rFonts w:ascii="Garamond" w:hAnsi="Garamond"/>
        </w:rPr>
        <w:t>The tables below summarize the coverage rates for VAS, Deworming, MUAC (Mid-Upper Arm Circumference) screening, and Immunization among children, stratified by household wealth quintile. Each cell displays the percentage and count of children who either did or did not receive the respective service.</w:t>
      </w:r>
    </w:p>
    <w:p w14:paraId="2283CF1E" w14:textId="77777777" w:rsidR="00AC4E03" w:rsidRPr="005871E7" w:rsidRDefault="00000000" w:rsidP="005871E7">
      <w:pPr>
        <w:pStyle w:val="Heading4"/>
        <w:spacing w:line="360" w:lineRule="auto"/>
        <w:jc w:val="both"/>
        <w:rPr>
          <w:rFonts w:ascii="Garamond" w:hAnsi="Garamond"/>
        </w:rPr>
      </w:pPr>
      <w:bookmarkStart w:id="53" w:name="vas"/>
      <w:r w:rsidRPr="005871E7">
        <w:rPr>
          <w:rFonts w:ascii="Garamond" w:hAnsi="Garamond"/>
        </w:rPr>
        <w:t>VAS</w:t>
      </w:r>
    </w:p>
    <w:tbl>
      <w:tblPr>
        <w:tblStyle w:val="Table"/>
        <w:tblW w:w="0" w:type="auto"/>
        <w:tblLook w:val="0020" w:firstRow="1" w:lastRow="0" w:firstColumn="0" w:lastColumn="0" w:noHBand="0" w:noVBand="0"/>
      </w:tblPr>
      <w:tblGrid>
        <w:gridCol w:w="1694"/>
        <w:gridCol w:w="1506"/>
        <w:gridCol w:w="1341"/>
      </w:tblGrid>
      <w:tr w:rsidR="00AC4E03" w:rsidRPr="005871E7" w14:paraId="457C6BF8" w14:textId="77777777" w:rsidTr="00AC4E03">
        <w:trPr>
          <w:cnfStyle w:val="100000000000" w:firstRow="1" w:lastRow="0" w:firstColumn="0" w:lastColumn="0" w:oddVBand="0" w:evenVBand="0" w:oddHBand="0" w:evenHBand="0" w:firstRowFirstColumn="0" w:firstRowLastColumn="0" w:lastRowFirstColumn="0" w:lastRowLastColumn="0"/>
          <w:tblHeader/>
        </w:trPr>
        <w:tc>
          <w:tcPr>
            <w:tcW w:w="0" w:type="auto"/>
          </w:tcPr>
          <w:p w14:paraId="35AD6D5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Wealth Quintile</w:t>
            </w:r>
          </w:p>
        </w:tc>
        <w:tc>
          <w:tcPr>
            <w:tcW w:w="0" w:type="auto"/>
          </w:tcPr>
          <w:p w14:paraId="594797D6"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No (%) (n)</w:t>
            </w:r>
          </w:p>
        </w:tc>
        <w:tc>
          <w:tcPr>
            <w:tcW w:w="0" w:type="auto"/>
          </w:tcPr>
          <w:p w14:paraId="2A98DDA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Yes (%) (n)</w:t>
            </w:r>
          </w:p>
        </w:tc>
      </w:tr>
      <w:tr w:rsidR="00AC4E03" w:rsidRPr="005871E7" w14:paraId="67EFB821" w14:textId="77777777">
        <w:tc>
          <w:tcPr>
            <w:tcW w:w="0" w:type="auto"/>
          </w:tcPr>
          <w:p w14:paraId="5146DF30"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Poorest</w:t>
            </w:r>
          </w:p>
        </w:tc>
        <w:tc>
          <w:tcPr>
            <w:tcW w:w="0" w:type="auto"/>
          </w:tcPr>
          <w:p w14:paraId="26ED02F7"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68.2% (1,100)</w:t>
            </w:r>
          </w:p>
        </w:tc>
        <w:tc>
          <w:tcPr>
            <w:tcW w:w="0" w:type="auto"/>
          </w:tcPr>
          <w:p w14:paraId="6D977EFE"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31.8% (513)</w:t>
            </w:r>
          </w:p>
        </w:tc>
      </w:tr>
      <w:tr w:rsidR="00AC4E03" w:rsidRPr="005871E7" w14:paraId="00D72615" w14:textId="77777777">
        <w:tc>
          <w:tcPr>
            <w:tcW w:w="0" w:type="auto"/>
          </w:tcPr>
          <w:p w14:paraId="7277AC8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Poor</w:t>
            </w:r>
          </w:p>
        </w:tc>
        <w:tc>
          <w:tcPr>
            <w:tcW w:w="0" w:type="auto"/>
          </w:tcPr>
          <w:p w14:paraId="74223EAF"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58.8% (949)</w:t>
            </w:r>
          </w:p>
        </w:tc>
        <w:tc>
          <w:tcPr>
            <w:tcW w:w="0" w:type="auto"/>
          </w:tcPr>
          <w:p w14:paraId="60CBADC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41.2% (664)</w:t>
            </w:r>
          </w:p>
        </w:tc>
      </w:tr>
      <w:tr w:rsidR="00AC4E03" w:rsidRPr="005871E7" w14:paraId="238E8E46" w14:textId="77777777">
        <w:tc>
          <w:tcPr>
            <w:tcW w:w="0" w:type="auto"/>
          </w:tcPr>
          <w:p w14:paraId="58DCA53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Middle</w:t>
            </w:r>
          </w:p>
        </w:tc>
        <w:tc>
          <w:tcPr>
            <w:tcW w:w="0" w:type="auto"/>
          </w:tcPr>
          <w:p w14:paraId="23BBABB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65.5% (1,057)</w:t>
            </w:r>
          </w:p>
        </w:tc>
        <w:tc>
          <w:tcPr>
            <w:tcW w:w="0" w:type="auto"/>
          </w:tcPr>
          <w:p w14:paraId="71B7644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34.5% (556)</w:t>
            </w:r>
          </w:p>
        </w:tc>
      </w:tr>
      <w:tr w:rsidR="00AC4E03" w:rsidRPr="005871E7" w14:paraId="0CB1513C" w14:textId="77777777">
        <w:tc>
          <w:tcPr>
            <w:tcW w:w="0" w:type="auto"/>
          </w:tcPr>
          <w:p w14:paraId="2EF4D9C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Rich</w:t>
            </w:r>
          </w:p>
        </w:tc>
        <w:tc>
          <w:tcPr>
            <w:tcW w:w="0" w:type="auto"/>
          </w:tcPr>
          <w:p w14:paraId="0253E35E"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57.8% (933)</w:t>
            </w:r>
          </w:p>
        </w:tc>
        <w:tc>
          <w:tcPr>
            <w:tcW w:w="0" w:type="auto"/>
          </w:tcPr>
          <w:p w14:paraId="67463D7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42.2% (680)</w:t>
            </w:r>
          </w:p>
        </w:tc>
      </w:tr>
      <w:tr w:rsidR="00AC4E03" w:rsidRPr="005871E7" w14:paraId="31587D4F" w14:textId="77777777">
        <w:tc>
          <w:tcPr>
            <w:tcW w:w="0" w:type="auto"/>
          </w:tcPr>
          <w:p w14:paraId="0986221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Richest</w:t>
            </w:r>
          </w:p>
        </w:tc>
        <w:tc>
          <w:tcPr>
            <w:tcW w:w="0" w:type="auto"/>
          </w:tcPr>
          <w:p w14:paraId="79D6CE8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53.6% (864)</w:t>
            </w:r>
          </w:p>
        </w:tc>
        <w:tc>
          <w:tcPr>
            <w:tcW w:w="0" w:type="auto"/>
          </w:tcPr>
          <w:p w14:paraId="40BD184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46.4% (748)</w:t>
            </w:r>
          </w:p>
        </w:tc>
      </w:tr>
    </w:tbl>
    <w:p w14:paraId="2ACC17AB" w14:textId="77777777" w:rsidR="00AC4E03" w:rsidRPr="005871E7" w:rsidRDefault="00000000" w:rsidP="005871E7">
      <w:pPr>
        <w:pStyle w:val="BodyText"/>
        <w:spacing w:line="360" w:lineRule="auto"/>
        <w:jc w:val="both"/>
        <w:rPr>
          <w:rFonts w:ascii="Garamond" w:hAnsi="Garamond"/>
        </w:rPr>
      </w:pPr>
      <w:r w:rsidRPr="005871E7">
        <w:rPr>
          <w:rFonts w:ascii="Garamond" w:hAnsi="Garamond"/>
        </w:rPr>
        <w:t>The table displays the distribution of Vitamin A Supplementation (VAS) coverage across household wealth quintiles. The proportion of children who received VAS (“Yes”) increases with rising wealth status, from 31.8% among the poorest households to 46.4% among the richest. Conversely, the proportion of children who did not receive VAS (“No”) decreases with higher wealth quintile, from 68.2% in the poorest group to 53.6% in the richest.</w:t>
      </w:r>
    </w:p>
    <w:p w14:paraId="72B4B809" w14:textId="77777777" w:rsidR="00AC4E03" w:rsidRPr="005871E7" w:rsidRDefault="00000000" w:rsidP="005871E7">
      <w:pPr>
        <w:pStyle w:val="BodyText"/>
        <w:spacing w:line="360" w:lineRule="auto"/>
        <w:jc w:val="both"/>
        <w:rPr>
          <w:rFonts w:ascii="Garamond" w:hAnsi="Garamond"/>
        </w:rPr>
      </w:pPr>
      <w:r w:rsidRPr="005871E7">
        <w:rPr>
          <w:rFonts w:ascii="Garamond" w:hAnsi="Garamond"/>
        </w:rPr>
        <w:t>This gradient demonstrates a positive association between household wealth and VAS coverage: children from wealthier households are more likely to receive VAS compared to those from poorer households.</w:t>
      </w:r>
    </w:p>
    <w:p w14:paraId="1A0524F6" w14:textId="77777777" w:rsidR="00AC4E03" w:rsidRPr="005871E7" w:rsidRDefault="00000000" w:rsidP="005871E7">
      <w:pPr>
        <w:pStyle w:val="BodyText"/>
        <w:spacing w:line="360" w:lineRule="auto"/>
        <w:jc w:val="both"/>
        <w:rPr>
          <w:rFonts w:ascii="Garamond" w:hAnsi="Garamond"/>
        </w:rPr>
      </w:pPr>
      <w:r w:rsidRPr="005871E7">
        <w:rPr>
          <w:rFonts w:ascii="Garamond" w:hAnsi="Garamond"/>
        </w:rPr>
        <w:t xml:space="preserve">A Pearson’s chi-squared test was conducted to assess the significance of this association. The test produced a chi-squared statistic of </w:t>
      </w: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95.8</m:t>
        </m:r>
      </m:oMath>
      <w:r w:rsidRPr="005871E7">
        <w:rPr>
          <w:rFonts w:ascii="Garamond" w:hAnsi="Garamond"/>
        </w:rPr>
        <w:t xml:space="preserve"> with 4 degrees of freedom, and a p-value less than </w:t>
      </w:r>
      <m:oMath>
        <m:r>
          <w:rPr>
            <w:rFonts w:ascii="Cambria Math" w:hAnsi="Cambria Math"/>
          </w:rPr>
          <m:t>2.2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16</m:t>
            </m:r>
          </m:sup>
        </m:sSup>
      </m:oMath>
      <w:r w:rsidRPr="005871E7">
        <w:rPr>
          <w:rFonts w:ascii="Garamond" w:hAnsi="Garamond"/>
        </w:rPr>
        <w:t>. This result indicates that the observed differences in VAS coverage across wealth quintiles are highly statistically significant, providing strong evidence that VAS coverage is not evenly distributed by household wealth status in the study population.</w:t>
      </w:r>
    </w:p>
    <w:p w14:paraId="5267B63A" w14:textId="77777777" w:rsidR="00AC4E03" w:rsidRPr="005871E7" w:rsidRDefault="00000000" w:rsidP="005871E7">
      <w:pPr>
        <w:pStyle w:val="Heading4"/>
        <w:spacing w:line="360" w:lineRule="auto"/>
        <w:jc w:val="both"/>
        <w:rPr>
          <w:rFonts w:ascii="Garamond" w:hAnsi="Garamond"/>
        </w:rPr>
      </w:pPr>
      <w:bookmarkStart w:id="54" w:name="deworming"/>
      <w:bookmarkEnd w:id="53"/>
      <w:r w:rsidRPr="005871E7">
        <w:rPr>
          <w:rFonts w:ascii="Garamond" w:hAnsi="Garamond"/>
        </w:rPr>
        <w:lastRenderedPageBreak/>
        <w:t>Deworming</w:t>
      </w:r>
    </w:p>
    <w:tbl>
      <w:tblPr>
        <w:tblStyle w:val="Table"/>
        <w:tblW w:w="0" w:type="auto"/>
        <w:tblLook w:val="0020" w:firstRow="1" w:lastRow="0" w:firstColumn="0" w:lastColumn="0" w:noHBand="0" w:noVBand="0"/>
      </w:tblPr>
      <w:tblGrid>
        <w:gridCol w:w="1694"/>
        <w:gridCol w:w="1506"/>
        <w:gridCol w:w="1341"/>
      </w:tblGrid>
      <w:tr w:rsidR="00AC4E03" w:rsidRPr="005871E7" w14:paraId="630AD884" w14:textId="77777777" w:rsidTr="00AC4E03">
        <w:trPr>
          <w:cnfStyle w:val="100000000000" w:firstRow="1" w:lastRow="0" w:firstColumn="0" w:lastColumn="0" w:oddVBand="0" w:evenVBand="0" w:oddHBand="0" w:evenHBand="0" w:firstRowFirstColumn="0" w:firstRowLastColumn="0" w:lastRowFirstColumn="0" w:lastRowLastColumn="0"/>
          <w:tblHeader/>
        </w:trPr>
        <w:tc>
          <w:tcPr>
            <w:tcW w:w="0" w:type="auto"/>
          </w:tcPr>
          <w:p w14:paraId="6FC6A62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Wealth Quintile</w:t>
            </w:r>
          </w:p>
        </w:tc>
        <w:tc>
          <w:tcPr>
            <w:tcW w:w="0" w:type="auto"/>
          </w:tcPr>
          <w:p w14:paraId="32E0691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No</w:t>
            </w:r>
          </w:p>
        </w:tc>
        <w:tc>
          <w:tcPr>
            <w:tcW w:w="0" w:type="auto"/>
          </w:tcPr>
          <w:p w14:paraId="662CE2EF"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Yes</w:t>
            </w:r>
          </w:p>
        </w:tc>
      </w:tr>
      <w:tr w:rsidR="00AC4E03" w:rsidRPr="005871E7" w14:paraId="07FE3446" w14:textId="77777777">
        <w:tc>
          <w:tcPr>
            <w:tcW w:w="0" w:type="auto"/>
          </w:tcPr>
          <w:p w14:paraId="32213D2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Poorest</w:t>
            </w:r>
          </w:p>
        </w:tc>
        <w:tc>
          <w:tcPr>
            <w:tcW w:w="0" w:type="auto"/>
          </w:tcPr>
          <w:p w14:paraId="40341560"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75.3% (1,214)</w:t>
            </w:r>
          </w:p>
        </w:tc>
        <w:tc>
          <w:tcPr>
            <w:tcW w:w="0" w:type="auto"/>
          </w:tcPr>
          <w:p w14:paraId="2924E8A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24.7% (399)</w:t>
            </w:r>
          </w:p>
        </w:tc>
      </w:tr>
      <w:tr w:rsidR="00AC4E03" w:rsidRPr="005871E7" w14:paraId="7B03C3C2" w14:textId="77777777">
        <w:tc>
          <w:tcPr>
            <w:tcW w:w="0" w:type="auto"/>
          </w:tcPr>
          <w:p w14:paraId="3E28209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Poor</w:t>
            </w:r>
          </w:p>
        </w:tc>
        <w:tc>
          <w:tcPr>
            <w:tcW w:w="0" w:type="auto"/>
          </w:tcPr>
          <w:p w14:paraId="247745C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61.1% (985)</w:t>
            </w:r>
          </w:p>
        </w:tc>
        <w:tc>
          <w:tcPr>
            <w:tcW w:w="0" w:type="auto"/>
          </w:tcPr>
          <w:p w14:paraId="0EBCC5F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38.9% (628)</w:t>
            </w:r>
          </w:p>
        </w:tc>
      </w:tr>
      <w:tr w:rsidR="00AC4E03" w:rsidRPr="005871E7" w14:paraId="19814656" w14:textId="77777777">
        <w:tc>
          <w:tcPr>
            <w:tcW w:w="0" w:type="auto"/>
          </w:tcPr>
          <w:p w14:paraId="5A79F5A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Middle</w:t>
            </w:r>
          </w:p>
        </w:tc>
        <w:tc>
          <w:tcPr>
            <w:tcW w:w="0" w:type="auto"/>
          </w:tcPr>
          <w:p w14:paraId="13D2754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72.8% (1,174)</w:t>
            </w:r>
          </w:p>
        </w:tc>
        <w:tc>
          <w:tcPr>
            <w:tcW w:w="0" w:type="auto"/>
          </w:tcPr>
          <w:p w14:paraId="0BE98ADF"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27.2% (439)</w:t>
            </w:r>
          </w:p>
        </w:tc>
      </w:tr>
      <w:tr w:rsidR="00AC4E03" w:rsidRPr="005871E7" w14:paraId="7EEDDEAD" w14:textId="77777777">
        <w:tc>
          <w:tcPr>
            <w:tcW w:w="0" w:type="auto"/>
          </w:tcPr>
          <w:p w14:paraId="0F7402FF"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Rich</w:t>
            </w:r>
          </w:p>
        </w:tc>
        <w:tc>
          <w:tcPr>
            <w:tcW w:w="0" w:type="auto"/>
          </w:tcPr>
          <w:p w14:paraId="70A3BB7D"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64.5% (1,041)</w:t>
            </w:r>
          </w:p>
        </w:tc>
        <w:tc>
          <w:tcPr>
            <w:tcW w:w="0" w:type="auto"/>
          </w:tcPr>
          <w:p w14:paraId="545C95D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35.5% (572)</w:t>
            </w:r>
          </w:p>
        </w:tc>
      </w:tr>
      <w:tr w:rsidR="00AC4E03" w:rsidRPr="005871E7" w14:paraId="6B4F51C9" w14:textId="77777777">
        <w:tc>
          <w:tcPr>
            <w:tcW w:w="0" w:type="auto"/>
          </w:tcPr>
          <w:p w14:paraId="0684972D"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Richest</w:t>
            </w:r>
          </w:p>
        </w:tc>
        <w:tc>
          <w:tcPr>
            <w:tcW w:w="0" w:type="auto"/>
          </w:tcPr>
          <w:p w14:paraId="27A8446F"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63.0% (1,015)</w:t>
            </w:r>
          </w:p>
        </w:tc>
        <w:tc>
          <w:tcPr>
            <w:tcW w:w="0" w:type="auto"/>
          </w:tcPr>
          <w:p w14:paraId="7D561ACE"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37.0% (597)</w:t>
            </w:r>
          </w:p>
        </w:tc>
      </w:tr>
    </w:tbl>
    <w:p w14:paraId="5D017D16" w14:textId="77777777" w:rsidR="00AC4E03" w:rsidRPr="005871E7" w:rsidRDefault="00000000" w:rsidP="005871E7">
      <w:pPr>
        <w:pStyle w:val="BodyText"/>
        <w:spacing w:line="360" w:lineRule="auto"/>
        <w:jc w:val="both"/>
        <w:rPr>
          <w:rFonts w:ascii="Garamond" w:hAnsi="Garamond"/>
        </w:rPr>
      </w:pPr>
      <w:r w:rsidRPr="005871E7">
        <w:rPr>
          <w:rFonts w:ascii="Garamond" w:hAnsi="Garamond"/>
        </w:rPr>
        <w:t xml:space="preserve">A clear gradient is observed in Deworming coverage across wealth quintiles. Coverage is lowest among children in the poorest quintile (24.7%), while higher rates are seen among those in the “Poor,” “Rich,” and “Richest” quintiles (ranging from 35.5% to 38.9%). The chi-squared test indicates that these differences are statistically significant </w:t>
      </w:r>
      <m:oMath>
        <m:r>
          <m:rPr>
            <m:sty m:val="p"/>
          </m:rPr>
          <w:rPr>
            <w:rFonts w:ascii="Cambria Math" w:hAnsi="Cambria Math"/>
          </w:rPr>
          <m:t>(</m:t>
        </m:r>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116.4</m:t>
        </m:r>
        <m:r>
          <m:rPr>
            <m:sty m:val="p"/>
          </m:rPr>
          <w:rPr>
            <w:rFonts w:ascii="Cambria Math" w:hAnsi="Cambria Math"/>
          </w:rPr>
          <m:t>,</m:t>
        </m:r>
        <m:r>
          <w:rPr>
            <w:rFonts w:ascii="Cambria Math" w:hAnsi="Cambria Math"/>
          </w:rPr>
          <m:t>df</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 p</m:t>
        </m:r>
        <m:r>
          <m:rPr>
            <m:sty m:val="p"/>
          </m:rPr>
          <w:rPr>
            <w:rFonts w:ascii="Cambria Math" w:hAnsi="Cambria Math"/>
          </w:rPr>
          <m:t>&lt;</m:t>
        </m:r>
        <m:r>
          <w:rPr>
            <w:rFonts w:ascii="Cambria Math" w:hAnsi="Cambria Math"/>
          </w:rPr>
          <m:t>2.2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16</m:t>
            </m:r>
          </m:sup>
        </m:sSup>
        <m:r>
          <m:rPr>
            <m:sty m:val="p"/>
          </m:rPr>
          <w:rPr>
            <w:rFonts w:ascii="Cambria Math" w:hAnsi="Cambria Math"/>
          </w:rPr>
          <m:t>)</m:t>
        </m:r>
      </m:oMath>
      <w:r w:rsidRPr="005871E7">
        <w:rPr>
          <w:rFonts w:ascii="Garamond" w:hAnsi="Garamond"/>
        </w:rPr>
        <w:t>, suggesting a strong association between household wealth status and Deworming coverage.</w:t>
      </w:r>
    </w:p>
    <w:p w14:paraId="1D289294" w14:textId="77777777" w:rsidR="00AC4E03" w:rsidRPr="005871E7" w:rsidRDefault="00000000" w:rsidP="005871E7">
      <w:pPr>
        <w:pStyle w:val="Heading4"/>
        <w:spacing w:line="360" w:lineRule="auto"/>
        <w:jc w:val="both"/>
        <w:rPr>
          <w:rFonts w:ascii="Garamond" w:hAnsi="Garamond"/>
        </w:rPr>
      </w:pPr>
      <w:bookmarkStart w:id="55" w:name="muac"/>
      <w:bookmarkEnd w:id="54"/>
      <w:r w:rsidRPr="005871E7">
        <w:rPr>
          <w:rFonts w:ascii="Garamond" w:hAnsi="Garamond"/>
        </w:rPr>
        <w:t>MUAC</w:t>
      </w:r>
    </w:p>
    <w:tbl>
      <w:tblPr>
        <w:tblStyle w:val="Table"/>
        <w:tblW w:w="0" w:type="auto"/>
        <w:tblLook w:val="0020" w:firstRow="1" w:lastRow="0" w:firstColumn="0" w:lastColumn="0" w:noHBand="0" w:noVBand="0"/>
      </w:tblPr>
      <w:tblGrid>
        <w:gridCol w:w="1694"/>
        <w:gridCol w:w="1506"/>
        <w:gridCol w:w="1341"/>
      </w:tblGrid>
      <w:tr w:rsidR="00AC4E03" w:rsidRPr="005871E7" w14:paraId="4872AE31" w14:textId="77777777" w:rsidTr="00AC4E03">
        <w:trPr>
          <w:cnfStyle w:val="100000000000" w:firstRow="1" w:lastRow="0" w:firstColumn="0" w:lastColumn="0" w:oddVBand="0" w:evenVBand="0" w:oddHBand="0" w:evenHBand="0" w:firstRowFirstColumn="0" w:firstRowLastColumn="0" w:lastRowFirstColumn="0" w:lastRowLastColumn="0"/>
          <w:tblHeader/>
        </w:trPr>
        <w:tc>
          <w:tcPr>
            <w:tcW w:w="0" w:type="auto"/>
          </w:tcPr>
          <w:p w14:paraId="388C0C96"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Wealth Quintile</w:t>
            </w:r>
          </w:p>
        </w:tc>
        <w:tc>
          <w:tcPr>
            <w:tcW w:w="0" w:type="auto"/>
          </w:tcPr>
          <w:p w14:paraId="6FCBA1A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No</w:t>
            </w:r>
          </w:p>
        </w:tc>
        <w:tc>
          <w:tcPr>
            <w:tcW w:w="0" w:type="auto"/>
          </w:tcPr>
          <w:p w14:paraId="720517E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Yes</w:t>
            </w:r>
          </w:p>
        </w:tc>
      </w:tr>
      <w:tr w:rsidR="00AC4E03" w:rsidRPr="005871E7" w14:paraId="42D5F0F4" w14:textId="77777777">
        <w:tc>
          <w:tcPr>
            <w:tcW w:w="0" w:type="auto"/>
          </w:tcPr>
          <w:p w14:paraId="72916D5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Poorest</w:t>
            </w:r>
          </w:p>
        </w:tc>
        <w:tc>
          <w:tcPr>
            <w:tcW w:w="0" w:type="auto"/>
          </w:tcPr>
          <w:p w14:paraId="501C466C"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85.7% (1,383)</w:t>
            </w:r>
          </w:p>
        </w:tc>
        <w:tc>
          <w:tcPr>
            <w:tcW w:w="0" w:type="auto"/>
          </w:tcPr>
          <w:p w14:paraId="67C6707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14.3% (230)</w:t>
            </w:r>
          </w:p>
        </w:tc>
      </w:tr>
      <w:tr w:rsidR="00AC4E03" w:rsidRPr="005871E7" w14:paraId="0E4D25D5" w14:textId="77777777">
        <w:tc>
          <w:tcPr>
            <w:tcW w:w="0" w:type="auto"/>
          </w:tcPr>
          <w:p w14:paraId="2489AB6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Poor</w:t>
            </w:r>
          </w:p>
        </w:tc>
        <w:tc>
          <w:tcPr>
            <w:tcW w:w="0" w:type="auto"/>
          </w:tcPr>
          <w:p w14:paraId="5081D52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71.0% (1,146)</w:t>
            </w:r>
          </w:p>
        </w:tc>
        <w:tc>
          <w:tcPr>
            <w:tcW w:w="0" w:type="auto"/>
          </w:tcPr>
          <w:p w14:paraId="1FDA21BD"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29.0% (467)</w:t>
            </w:r>
          </w:p>
        </w:tc>
      </w:tr>
      <w:tr w:rsidR="00AC4E03" w:rsidRPr="005871E7" w14:paraId="043C771F" w14:textId="77777777">
        <w:tc>
          <w:tcPr>
            <w:tcW w:w="0" w:type="auto"/>
          </w:tcPr>
          <w:p w14:paraId="40B10B8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Middle</w:t>
            </w:r>
          </w:p>
        </w:tc>
        <w:tc>
          <w:tcPr>
            <w:tcW w:w="0" w:type="auto"/>
          </w:tcPr>
          <w:p w14:paraId="63135DB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82.5% (1,331)</w:t>
            </w:r>
          </w:p>
        </w:tc>
        <w:tc>
          <w:tcPr>
            <w:tcW w:w="0" w:type="auto"/>
          </w:tcPr>
          <w:p w14:paraId="78FFB12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17.5% (282)</w:t>
            </w:r>
          </w:p>
        </w:tc>
      </w:tr>
      <w:tr w:rsidR="00AC4E03" w:rsidRPr="005871E7" w14:paraId="51E6823C" w14:textId="77777777">
        <w:tc>
          <w:tcPr>
            <w:tcW w:w="0" w:type="auto"/>
          </w:tcPr>
          <w:p w14:paraId="1EB2923E"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Rich</w:t>
            </w:r>
          </w:p>
        </w:tc>
        <w:tc>
          <w:tcPr>
            <w:tcW w:w="0" w:type="auto"/>
          </w:tcPr>
          <w:p w14:paraId="43A10DE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74.7% (1,205)</w:t>
            </w:r>
          </w:p>
        </w:tc>
        <w:tc>
          <w:tcPr>
            <w:tcW w:w="0" w:type="auto"/>
          </w:tcPr>
          <w:p w14:paraId="149FCF7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25.3% (408)</w:t>
            </w:r>
          </w:p>
        </w:tc>
      </w:tr>
      <w:tr w:rsidR="00AC4E03" w:rsidRPr="005871E7" w14:paraId="40741C73" w14:textId="77777777">
        <w:tc>
          <w:tcPr>
            <w:tcW w:w="0" w:type="auto"/>
          </w:tcPr>
          <w:p w14:paraId="131F239F"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Richest</w:t>
            </w:r>
          </w:p>
        </w:tc>
        <w:tc>
          <w:tcPr>
            <w:tcW w:w="0" w:type="auto"/>
          </w:tcPr>
          <w:p w14:paraId="2CA64CD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72.5% (1,169)</w:t>
            </w:r>
          </w:p>
        </w:tc>
        <w:tc>
          <w:tcPr>
            <w:tcW w:w="0" w:type="auto"/>
          </w:tcPr>
          <w:p w14:paraId="02DF029E"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27.5% (443)</w:t>
            </w:r>
          </w:p>
        </w:tc>
      </w:tr>
    </w:tbl>
    <w:p w14:paraId="41743255" w14:textId="77777777" w:rsidR="00AC4E03" w:rsidRPr="005871E7" w:rsidRDefault="00000000" w:rsidP="005871E7">
      <w:pPr>
        <w:pStyle w:val="BodyText"/>
        <w:spacing w:line="360" w:lineRule="auto"/>
        <w:jc w:val="both"/>
        <w:rPr>
          <w:rFonts w:ascii="Garamond" w:hAnsi="Garamond"/>
        </w:rPr>
      </w:pPr>
      <w:r w:rsidRPr="005871E7">
        <w:rPr>
          <w:rFonts w:ascii="Garamond" w:hAnsi="Garamond"/>
        </w:rPr>
        <w:t xml:space="preserve">MUAC screening coverage is notably low in all quintiles, with the poorest quintile recording the lowest coverage (14.3%). Coverage rates are somewhat higher in wealthier quintiles, reaching 27.5% in the richest group. The chi-squared test again demonstrates a significant difference in MUAC coverage across wealth quintiles </w:t>
      </w:r>
      <m:oMath>
        <m:r>
          <m:rPr>
            <m:sty m:val="p"/>
          </m:rPr>
          <w:rPr>
            <w:rFonts w:ascii="Cambria Math" w:hAnsi="Cambria Math"/>
          </w:rPr>
          <m:t>(</m:t>
        </m:r>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95.8</m:t>
        </m:r>
        <m:r>
          <m:rPr>
            <m:sty m:val="p"/>
          </m:rPr>
          <w:rPr>
            <w:rFonts w:ascii="Cambria Math" w:hAnsi="Cambria Math"/>
          </w:rPr>
          <m:t>,</m:t>
        </m:r>
        <m:r>
          <w:rPr>
            <w:rFonts w:ascii="Cambria Math" w:hAnsi="Cambria Math"/>
          </w:rPr>
          <m:t>df</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 p</m:t>
        </m:r>
        <m:r>
          <m:rPr>
            <m:sty m:val="p"/>
          </m:rPr>
          <w:rPr>
            <w:rFonts w:ascii="Cambria Math" w:hAnsi="Cambria Math"/>
          </w:rPr>
          <m:t>&lt;</m:t>
        </m:r>
        <m:r>
          <w:rPr>
            <w:rFonts w:ascii="Cambria Math" w:hAnsi="Cambria Math"/>
          </w:rPr>
          <m:t>2.2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16</m:t>
            </m:r>
          </m:sup>
        </m:sSup>
        <m:r>
          <m:rPr>
            <m:sty m:val="p"/>
          </m:rPr>
          <w:rPr>
            <w:rFonts w:ascii="Cambria Math" w:hAnsi="Cambria Math"/>
          </w:rPr>
          <m:t>)</m:t>
        </m:r>
      </m:oMath>
      <w:r w:rsidRPr="005871E7">
        <w:rPr>
          <w:rFonts w:ascii="Garamond" w:hAnsi="Garamond"/>
        </w:rPr>
        <w:t>, indicating a meaningful association between household wealth and access to MUAC screening.</w:t>
      </w:r>
    </w:p>
    <w:p w14:paraId="21BBCD75" w14:textId="77777777" w:rsidR="00AC4E03" w:rsidRPr="005871E7" w:rsidRDefault="00000000" w:rsidP="005871E7">
      <w:pPr>
        <w:pStyle w:val="Heading4"/>
        <w:spacing w:line="360" w:lineRule="auto"/>
        <w:jc w:val="both"/>
        <w:rPr>
          <w:rFonts w:ascii="Garamond" w:hAnsi="Garamond"/>
        </w:rPr>
      </w:pPr>
      <w:bookmarkStart w:id="56" w:name="immunization"/>
      <w:bookmarkEnd w:id="55"/>
      <w:r w:rsidRPr="005871E7">
        <w:rPr>
          <w:rFonts w:ascii="Garamond" w:hAnsi="Garamond"/>
        </w:rPr>
        <w:t>Immunization</w:t>
      </w:r>
    </w:p>
    <w:tbl>
      <w:tblPr>
        <w:tblStyle w:val="Table"/>
        <w:tblW w:w="0" w:type="auto"/>
        <w:tblLook w:val="0020" w:firstRow="1" w:lastRow="0" w:firstColumn="0" w:lastColumn="0" w:noHBand="0" w:noVBand="0"/>
      </w:tblPr>
      <w:tblGrid>
        <w:gridCol w:w="1694"/>
        <w:gridCol w:w="1116"/>
        <w:gridCol w:w="1229"/>
        <w:gridCol w:w="1506"/>
      </w:tblGrid>
      <w:tr w:rsidR="00AC4E03" w:rsidRPr="005871E7" w14:paraId="42ACED72" w14:textId="77777777" w:rsidTr="00AC4E03">
        <w:trPr>
          <w:cnfStyle w:val="100000000000" w:firstRow="1" w:lastRow="0" w:firstColumn="0" w:lastColumn="0" w:oddVBand="0" w:evenVBand="0" w:oddHBand="0" w:evenHBand="0" w:firstRowFirstColumn="0" w:firstRowLastColumn="0" w:lastRowFirstColumn="0" w:lastRowLastColumn="0"/>
          <w:tblHeader/>
        </w:trPr>
        <w:tc>
          <w:tcPr>
            <w:tcW w:w="0" w:type="auto"/>
          </w:tcPr>
          <w:p w14:paraId="3CC5CE8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Wealth Quintile</w:t>
            </w:r>
          </w:p>
        </w:tc>
        <w:tc>
          <w:tcPr>
            <w:tcW w:w="0" w:type="auto"/>
          </w:tcPr>
          <w:p w14:paraId="0B9106C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No</w:t>
            </w:r>
          </w:p>
        </w:tc>
        <w:tc>
          <w:tcPr>
            <w:tcW w:w="0" w:type="auto"/>
          </w:tcPr>
          <w:p w14:paraId="55BD01A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Yes</w:t>
            </w:r>
          </w:p>
        </w:tc>
        <w:tc>
          <w:tcPr>
            <w:tcW w:w="0" w:type="auto"/>
          </w:tcPr>
          <w:p w14:paraId="4EF5B1A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NA</w:t>
            </w:r>
          </w:p>
        </w:tc>
      </w:tr>
      <w:tr w:rsidR="00AC4E03" w:rsidRPr="005871E7" w14:paraId="4479ED21" w14:textId="77777777">
        <w:tc>
          <w:tcPr>
            <w:tcW w:w="0" w:type="auto"/>
          </w:tcPr>
          <w:p w14:paraId="7F1DF47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Poorest</w:t>
            </w:r>
          </w:p>
        </w:tc>
        <w:tc>
          <w:tcPr>
            <w:tcW w:w="0" w:type="auto"/>
          </w:tcPr>
          <w:p w14:paraId="3B38996E"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2.0% (32)</w:t>
            </w:r>
          </w:p>
        </w:tc>
        <w:tc>
          <w:tcPr>
            <w:tcW w:w="0" w:type="auto"/>
          </w:tcPr>
          <w:p w14:paraId="0562D1ED"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2.7% (44)</w:t>
            </w:r>
          </w:p>
        </w:tc>
        <w:tc>
          <w:tcPr>
            <w:tcW w:w="0" w:type="auto"/>
          </w:tcPr>
          <w:p w14:paraId="3B1C371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95.3% (1,537)</w:t>
            </w:r>
          </w:p>
        </w:tc>
      </w:tr>
      <w:tr w:rsidR="00AC4E03" w:rsidRPr="005871E7" w14:paraId="34AE70C1" w14:textId="77777777">
        <w:tc>
          <w:tcPr>
            <w:tcW w:w="0" w:type="auto"/>
          </w:tcPr>
          <w:p w14:paraId="148AF64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lastRenderedPageBreak/>
              <w:t>Poor</w:t>
            </w:r>
          </w:p>
        </w:tc>
        <w:tc>
          <w:tcPr>
            <w:tcW w:w="0" w:type="auto"/>
          </w:tcPr>
          <w:p w14:paraId="32172C8E"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2.5% (40)</w:t>
            </w:r>
          </w:p>
        </w:tc>
        <w:tc>
          <w:tcPr>
            <w:tcW w:w="0" w:type="auto"/>
          </w:tcPr>
          <w:p w14:paraId="3E151BD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8.4% (135)</w:t>
            </w:r>
          </w:p>
        </w:tc>
        <w:tc>
          <w:tcPr>
            <w:tcW w:w="0" w:type="auto"/>
          </w:tcPr>
          <w:p w14:paraId="4ADA52FC"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89.2% (1,438)</w:t>
            </w:r>
          </w:p>
        </w:tc>
      </w:tr>
      <w:tr w:rsidR="00AC4E03" w:rsidRPr="005871E7" w14:paraId="78F70AF5" w14:textId="77777777">
        <w:tc>
          <w:tcPr>
            <w:tcW w:w="0" w:type="auto"/>
          </w:tcPr>
          <w:p w14:paraId="2328627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Middle</w:t>
            </w:r>
          </w:p>
        </w:tc>
        <w:tc>
          <w:tcPr>
            <w:tcW w:w="0" w:type="auto"/>
          </w:tcPr>
          <w:p w14:paraId="5F5684F0"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2.7% (44)</w:t>
            </w:r>
          </w:p>
        </w:tc>
        <w:tc>
          <w:tcPr>
            <w:tcW w:w="0" w:type="auto"/>
          </w:tcPr>
          <w:p w14:paraId="1536C1E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4.0% (64)</w:t>
            </w:r>
          </w:p>
        </w:tc>
        <w:tc>
          <w:tcPr>
            <w:tcW w:w="0" w:type="auto"/>
          </w:tcPr>
          <w:p w14:paraId="70B8B4A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93.3% (1,505)</w:t>
            </w:r>
          </w:p>
        </w:tc>
      </w:tr>
      <w:tr w:rsidR="00AC4E03" w:rsidRPr="005871E7" w14:paraId="5A1648DB" w14:textId="77777777">
        <w:tc>
          <w:tcPr>
            <w:tcW w:w="0" w:type="auto"/>
          </w:tcPr>
          <w:p w14:paraId="386C644C"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Rich</w:t>
            </w:r>
          </w:p>
        </w:tc>
        <w:tc>
          <w:tcPr>
            <w:tcW w:w="0" w:type="auto"/>
          </w:tcPr>
          <w:p w14:paraId="315084DD"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3.2% (52)</w:t>
            </w:r>
          </w:p>
        </w:tc>
        <w:tc>
          <w:tcPr>
            <w:tcW w:w="0" w:type="auto"/>
          </w:tcPr>
          <w:p w14:paraId="7905D02C"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5.6% (90)</w:t>
            </w:r>
          </w:p>
        </w:tc>
        <w:tc>
          <w:tcPr>
            <w:tcW w:w="0" w:type="auto"/>
          </w:tcPr>
          <w:p w14:paraId="6F10298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91.2% (1,471)</w:t>
            </w:r>
          </w:p>
        </w:tc>
      </w:tr>
      <w:tr w:rsidR="00AC4E03" w:rsidRPr="005871E7" w14:paraId="3C7A91FD" w14:textId="77777777">
        <w:tc>
          <w:tcPr>
            <w:tcW w:w="0" w:type="auto"/>
          </w:tcPr>
          <w:p w14:paraId="23F5DC8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Richest</w:t>
            </w:r>
          </w:p>
        </w:tc>
        <w:tc>
          <w:tcPr>
            <w:tcW w:w="0" w:type="auto"/>
          </w:tcPr>
          <w:p w14:paraId="2A1A71F3"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3.1% (50)</w:t>
            </w:r>
          </w:p>
        </w:tc>
        <w:tc>
          <w:tcPr>
            <w:tcW w:w="0" w:type="auto"/>
          </w:tcPr>
          <w:p w14:paraId="53924C9F"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6.5% (105)</w:t>
            </w:r>
          </w:p>
        </w:tc>
        <w:tc>
          <w:tcPr>
            <w:tcW w:w="0" w:type="auto"/>
          </w:tcPr>
          <w:p w14:paraId="2E92455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90.4% (1,457)</w:t>
            </w:r>
          </w:p>
        </w:tc>
      </w:tr>
    </w:tbl>
    <w:p w14:paraId="453F7505" w14:textId="77777777" w:rsidR="00AC4E03" w:rsidRPr="005871E7" w:rsidRDefault="00000000" w:rsidP="005871E7">
      <w:pPr>
        <w:pStyle w:val="BodyText"/>
        <w:spacing w:line="360" w:lineRule="auto"/>
        <w:jc w:val="both"/>
        <w:rPr>
          <w:rFonts w:ascii="Garamond" w:hAnsi="Garamond"/>
        </w:rPr>
      </w:pPr>
      <w:r w:rsidRPr="005871E7">
        <w:rPr>
          <w:rFonts w:ascii="Garamond" w:hAnsi="Garamond"/>
        </w:rPr>
        <w:t xml:space="preserve">Immunization coverage appears low across all wealth quintiles, with the “Yes” column ranging from 2.7% in the poorest to 8.4% in the “Poor” quintile, and the vast majority of records falling under “NA.” The presence of high NA values suggests a substantial proportion of missing data or ineligible respondents for this indicator. Despite these limitations, the chi-squared test (using VAS coverage as a proxy in your code) also reveals a statistically significant association between the wealth quintile and reported coverage </w:t>
      </w:r>
      <m:oMath>
        <m:r>
          <m:rPr>
            <m:sty m:val="p"/>
          </m:rPr>
          <w:rPr>
            <w:rFonts w:ascii="Cambria Math" w:hAnsi="Cambria Math"/>
          </w:rPr>
          <m:t>(</m:t>
        </m:r>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95.8</m:t>
        </m:r>
        <m:r>
          <m:rPr>
            <m:sty m:val="p"/>
          </m:rPr>
          <w:rPr>
            <w:rFonts w:ascii="Cambria Math" w:hAnsi="Cambria Math"/>
          </w:rPr>
          <m:t>,</m:t>
        </m:r>
        <m:r>
          <w:rPr>
            <w:rFonts w:ascii="Cambria Math" w:hAnsi="Cambria Math"/>
          </w:rPr>
          <m:t> df</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 p</m:t>
        </m:r>
        <m:r>
          <m:rPr>
            <m:sty m:val="p"/>
          </m:rPr>
          <w:rPr>
            <w:rFonts w:ascii="Cambria Math" w:hAnsi="Cambria Math"/>
          </w:rPr>
          <m:t>&lt;</m:t>
        </m:r>
        <m:r>
          <w:rPr>
            <w:rFonts w:ascii="Cambria Math" w:hAnsi="Cambria Math"/>
          </w:rPr>
          <m:t>2.2</m:t>
        </m:r>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16</m:t>
            </m:r>
          </m:sup>
        </m:sSup>
        <m:r>
          <m:rPr>
            <m:sty m:val="p"/>
          </m:rPr>
          <w:rPr>
            <w:rFonts w:ascii="Cambria Math" w:hAnsi="Cambria Math"/>
          </w:rPr>
          <m:t>)</m:t>
        </m:r>
      </m:oMath>
      <w:r w:rsidRPr="005871E7">
        <w:rPr>
          <w:rFonts w:ascii="Garamond" w:hAnsi="Garamond"/>
        </w:rPr>
        <w:t xml:space="preserve"> .</w:t>
      </w:r>
    </w:p>
    <w:p w14:paraId="2E79200D" w14:textId="77777777" w:rsidR="00AC4E03" w:rsidRPr="005871E7" w:rsidRDefault="00000000" w:rsidP="005871E7">
      <w:pPr>
        <w:pStyle w:val="Heading3"/>
        <w:spacing w:line="360" w:lineRule="auto"/>
        <w:jc w:val="both"/>
        <w:rPr>
          <w:rFonts w:ascii="Garamond" w:hAnsi="Garamond"/>
        </w:rPr>
      </w:pPr>
      <w:bookmarkStart w:id="57" w:name="Xb358d6686aa5b41a08261dcfb6d566d690fbe53"/>
      <w:bookmarkEnd w:id="52"/>
      <w:bookmarkEnd w:id="56"/>
      <w:r w:rsidRPr="005871E7">
        <w:rPr>
          <w:rFonts w:ascii="Garamond" w:hAnsi="Garamond"/>
        </w:rPr>
        <w:t>Coverage of VAS, Deworming, MUAC, and Immunization by Education Level of Household Head</w:t>
      </w:r>
    </w:p>
    <w:p w14:paraId="77CF6763" w14:textId="77777777" w:rsidR="00AC4E03" w:rsidRPr="005871E7" w:rsidRDefault="00000000" w:rsidP="005871E7">
      <w:pPr>
        <w:pStyle w:val="FirstParagraph"/>
        <w:spacing w:line="360" w:lineRule="auto"/>
        <w:jc w:val="both"/>
        <w:rPr>
          <w:rFonts w:ascii="Garamond" w:hAnsi="Garamond"/>
        </w:rPr>
      </w:pPr>
      <w:r w:rsidRPr="005871E7">
        <w:rPr>
          <w:rFonts w:ascii="Garamond" w:hAnsi="Garamond"/>
        </w:rPr>
        <w:t>The table below summarizes the coverage rates for Vitamin A Supplementation (VAS), Deworming, MUAC screening, and Immunization among children, disaggregated by the highest educational level attained by the household head. Each value represents the proportion of eligible children who received the specified service, with the sample size (</w:t>
      </w:r>
      <w:r w:rsidRPr="005871E7">
        <w:rPr>
          <w:rStyle w:val="VerbatimChar"/>
          <w:rFonts w:ascii="Garamond" w:hAnsi="Garamond"/>
        </w:rPr>
        <w:t>N</w:t>
      </w:r>
      <w:r w:rsidRPr="005871E7">
        <w:rPr>
          <w:rFonts w:ascii="Garamond" w:hAnsi="Garamond"/>
        </w:rPr>
        <w:t>) shown for each education category.</w:t>
      </w:r>
    </w:p>
    <w:p w14:paraId="6ABE4AE8" w14:textId="77777777" w:rsidR="00AC4E03" w:rsidRPr="005871E7" w:rsidRDefault="00000000" w:rsidP="005871E7">
      <w:pPr>
        <w:pStyle w:val="BodyText"/>
        <w:spacing w:line="360" w:lineRule="auto"/>
        <w:jc w:val="both"/>
        <w:rPr>
          <w:rFonts w:ascii="Garamond" w:hAnsi="Garamond"/>
        </w:rPr>
      </w:pPr>
      <w:r w:rsidRPr="005871E7">
        <w:rPr>
          <w:rFonts w:ascii="Garamond" w:hAnsi="Garamond"/>
        </w:rPr>
        <w:t>The results indicate that coverage rates for all services tend to be higher among households where the head has some formal education, particularly at the pre-primary/kindergarten and higher education levels. For example, VAS coverage is 51.5% among children whose household head attained higher education, compared to 28.8% among those with no formal education (NA). Similar patterns are observed for Deworming, MUAC, and Immunization. Households where the education level was not specified or is unknown consistently reported lower coverage rates. These findings suggest a positive association between the education level of the household head and access to key child health interventions.</w:t>
      </w:r>
    </w:p>
    <w:p w14:paraId="214C8F8F" w14:textId="77777777" w:rsidR="00AC4E03" w:rsidRPr="005871E7" w:rsidRDefault="00000000" w:rsidP="005871E7">
      <w:pPr>
        <w:pStyle w:val="BodyText"/>
        <w:spacing w:line="360" w:lineRule="auto"/>
        <w:jc w:val="both"/>
        <w:rPr>
          <w:rFonts w:ascii="Garamond" w:hAnsi="Garamond"/>
        </w:rPr>
      </w:pPr>
      <w:r w:rsidRPr="005871E7">
        <w:rPr>
          <w:rFonts w:ascii="Garamond" w:hAnsi="Garamond"/>
          <w:b/>
          <w:bCs/>
        </w:rPr>
        <w:t>Table: Coverage of Key Child Health Services by Education Level of Household Head</w:t>
      </w:r>
    </w:p>
    <w:tbl>
      <w:tblPr>
        <w:tblStyle w:val="Table"/>
        <w:tblW w:w="5000" w:type="pct"/>
        <w:tblLayout w:type="fixed"/>
        <w:tblLook w:val="0020" w:firstRow="1" w:lastRow="0" w:firstColumn="0" w:lastColumn="0" w:noHBand="0" w:noVBand="0"/>
      </w:tblPr>
      <w:tblGrid>
        <w:gridCol w:w="3624"/>
        <w:gridCol w:w="1035"/>
        <w:gridCol w:w="1423"/>
        <w:gridCol w:w="1035"/>
        <w:gridCol w:w="1812"/>
        <w:gridCol w:w="647"/>
      </w:tblGrid>
      <w:tr w:rsidR="00AC4E03" w:rsidRPr="005871E7" w14:paraId="0C23D101" w14:textId="77777777" w:rsidTr="00AC4E03">
        <w:trPr>
          <w:cnfStyle w:val="100000000000" w:firstRow="1" w:lastRow="0" w:firstColumn="0" w:lastColumn="0" w:oddVBand="0" w:evenVBand="0" w:oddHBand="0" w:evenHBand="0" w:firstRowFirstColumn="0" w:firstRowLastColumn="0" w:lastRowFirstColumn="0" w:lastRowLastColumn="0"/>
          <w:tblHeader/>
        </w:trPr>
        <w:tc>
          <w:tcPr>
            <w:tcW w:w="2996" w:type="dxa"/>
          </w:tcPr>
          <w:p w14:paraId="112C1C4C"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Education Level</w:t>
            </w:r>
          </w:p>
        </w:tc>
        <w:tc>
          <w:tcPr>
            <w:tcW w:w="856" w:type="dxa"/>
          </w:tcPr>
          <w:p w14:paraId="64463DB0"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VAS</w:t>
            </w:r>
          </w:p>
        </w:tc>
        <w:tc>
          <w:tcPr>
            <w:tcW w:w="1177" w:type="dxa"/>
          </w:tcPr>
          <w:p w14:paraId="75B97DF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Deworming</w:t>
            </w:r>
          </w:p>
        </w:tc>
        <w:tc>
          <w:tcPr>
            <w:tcW w:w="856" w:type="dxa"/>
          </w:tcPr>
          <w:p w14:paraId="6822AF0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MUAC</w:t>
            </w:r>
          </w:p>
        </w:tc>
        <w:tc>
          <w:tcPr>
            <w:tcW w:w="1498" w:type="dxa"/>
          </w:tcPr>
          <w:p w14:paraId="15A12C8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Immunization</w:t>
            </w:r>
          </w:p>
        </w:tc>
        <w:tc>
          <w:tcPr>
            <w:tcW w:w="535" w:type="dxa"/>
          </w:tcPr>
          <w:p w14:paraId="63353AF6"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N</w:t>
            </w:r>
          </w:p>
        </w:tc>
      </w:tr>
      <w:tr w:rsidR="00AC4E03" w:rsidRPr="005871E7" w14:paraId="79D549C1" w14:textId="77777777">
        <w:tc>
          <w:tcPr>
            <w:tcW w:w="2996" w:type="dxa"/>
          </w:tcPr>
          <w:p w14:paraId="5515BA7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lastRenderedPageBreak/>
              <w:t>Don’t Know</w:t>
            </w:r>
          </w:p>
        </w:tc>
        <w:tc>
          <w:tcPr>
            <w:tcW w:w="856" w:type="dxa"/>
          </w:tcPr>
          <w:p w14:paraId="3D9FAD1E"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0.338</w:t>
            </w:r>
          </w:p>
        </w:tc>
        <w:tc>
          <w:tcPr>
            <w:tcW w:w="1177" w:type="dxa"/>
          </w:tcPr>
          <w:p w14:paraId="31C126B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0.288</w:t>
            </w:r>
          </w:p>
        </w:tc>
        <w:tc>
          <w:tcPr>
            <w:tcW w:w="856" w:type="dxa"/>
          </w:tcPr>
          <w:p w14:paraId="59F76457"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0.125</w:t>
            </w:r>
          </w:p>
        </w:tc>
        <w:tc>
          <w:tcPr>
            <w:tcW w:w="1498" w:type="dxa"/>
          </w:tcPr>
          <w:p w14:paraId="02D1555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0.750</w:t>
            </w:r>
          </w:p>
        </w:tc>
        <w:tc>
          <w:tcPr>
            <w:tcW w:w="535" w:type="dxa"/>
          </w:tcPr>
          <w:p w14:paraId="33C3CE7C"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80</w:t>
            </w:r>
          </w:p>
        </w:tc>
      </w:tr>
      <w:tr w:rsidR="00AC4E03" w:rsidRPr="005871E7" w14:paraId="2EDABE43" w14:textId="77777777">
        <w:tc>
          <w:tcPr>
            <w:tcW w:w="2996" w:type="dxa"/>
          </w:tcPr>
          <w:p w14:paraId="067B78BD"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Higher</w:t>
            </w:r>
          </w:p>
        </w:tc>
        <w:tc>
          <w:tcPr>
            <w:tcW w:w="856" w:type="dxa"/>
          </w:tcPr>
          <w:p w14:paraId="49D3957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0.515</w:t>
            </w:r>
          </w:p>
        </w:tc>
        <w:tc>
          <w:tcPr>
            <w:tcW w:w="1177" w:type="dxa"/>
          </w:tcPr>
          <w:p w14:paraId="55190563"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0.396</w:t>
            </w:r>
          </w:p>
        </w:tc>
        <w:tc>
          <w:tcPr>
            <w:tcW w:w="856" w:type="dxa"/>
          </w:tcPr>
          <w:p w14:paraId="3BF0920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0.311</w:t>
            </w:r>
          </w:p>
        </w:tc>
        <w:tc>
          <w:tcPr>
            <w:tcW w:w="1498" w:type="dxa"/>
          </w:tcPr>
          <w:p w14:paraId="171F52C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0.709</w:t>
            </w:r>
          </w:p>
        </w:tc>
        <w:tc>
          <w:tcPr>
            <w:tcW w:w="535" w:type="dxa"/>
          </w:tcPr>
          <w:p w14:paraId="27B6E77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1205</w:t>
            </w:r>
          </w:p>
        </w:tc>
      </w:tr>
      <w:tr w:rsidR="00AC4E03" w:rsidRPr="005871E7" w14:paraId="30FDA0BE" w14:textId="77777777">
        <w:tc>
          <w:tcPr>
            <w:tcW w:w="2996" w:type="dxa"/>
          </w:tcPr>
          <w:p w14:paraId="18C1D7C0"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Pre-primary/kindergarten</w:t>
            </w:r>
          </w:p>
        </w:tc>
        <w:tc>
          <w:tcPr>
            <w:tcW w:w="856" w:type="dxa"/>
          </w:tcPr>
          <w:p w14:paraId="5F7E983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0.553</w:t>
            </w:r>
          </w:p>
        </w:tc>
        <w:tc>
          <w:tcPr>
            <w:tcW w:w="1177" w:type="dxa"/>
          </w:tcPr>
          <w:p w14:paraId="16A19FE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0.479</w:t>
            </w:r>
          </w:p>
        </w:tc>
        <w:tc>
          <w:tcPr>
            <w:tcW w:w="856" w:type="dxa"/>
          </w:tcPr>
          <w:p w14:paraId="517FAC9E"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0.266</w:t>
            </w:r>
          </w:p>
        </w:tc>
        <w:tc>
          <w:tcPr>
            <w:tcW w:w="1498" w:type="dxa"/>
          </w:tcPr>
          <w:p w14:paraId="2A0E0B7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0.833</w:t>
            </w:r>
          </w:p>
        </w:tc>
        <w:tc>
          <w:tcPr>
            <w:tcW w:w="535" w:type="dxa"/>
          </w:tcPr>
          <w:p w14:paraId="77DB3E9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94</w:t>
            </w:r>
          </w:p>
        </w:tc>
      </w:tr>
      <w:tr w:rsidR="00AC4E03" w:rsidRPr="005871E7" w14:paraId="12C7BDEA" w14:textId="77777777">
        <w:tc>
          <w:tcPr>
            <w:tcW w:w="2996" w:type="dxa"/>
          </w:tcPr>
          <w:p w14:paraId="0D0C6A2D"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Primary</w:t>
            </w:r>
          </w:p>
        </w:tc>
        <w:tc>
          <w:tcPr>
            <w:tcW w:w="856" w:type="dxa"/>
          </w:tcPr>
          <w:p w14:paraId="3051E8F6"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0.469</w:t>
            </w:r>
          </w:p>
        </w:tc>
        <w:tc>
          <w:tcPr>
            <w:tcW w:w="1177" w:type="dxa"/>
          </w:tcPr>
          <w:p w14:paraId="5162EA13"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0.429</w:t>
            </w:r>
          </w:p>
        </w:tc>
        <w:tc>
          <w:tcPr>
            <w:tcW w:w="856" w:type="dxa"/>
          </w:tcPr>
          <w:p w14:paraId="5ABACA6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0.317</w:t>
            </w:r>
          </w:p>
        </w:tc>
        <w:tc>
          <w:tcPr>
            <w:tcW w:w="1498" w:type="dxa"/>
          </w:tcPr>
          <w:p w14:paraId="4AF3695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0.789</w:t>
            </w:r>
          </w:p>
        </w:tc>
        <w:tc>
          <w:tcPr>
            <w:tcW w:w="535" w:type="dxa"/>
          </w:tcPr>
          <w:p w14:paraId="771C467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1060</w:t>
            </w:r>
          </w:p>
        </w:tc>
      </w:tr>
      <w:tr w:rsidR="00AC4E03" w:rsidRPr="005871E7" w14:paraId="2BA6E191" w14:textId="77777777">
        <w:tc>
          <w:tcPr>
            <w:tcW w:w="2996" w:type="dxa"/>
          </w:tcPr>
          <w:p w14:paraId="13CD718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Secondary</w:t>
            </w:r>
          </w:p>
        </w:tc>
        <w:tc>
          <w:tcPr>
            <w:tcW w:w="856" w:type="dxa"/>
          </w:tcPr>
          <w:p w14:paraId="4B8938BC"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0.475</w:t>
            </w:r>
          </w:p>
        </w:tc>
        <w:tc>
          <w:tcPr>
            <w:tcW w:w="1177" w:type="dxa"/>
          </w:tcPr>
          <w:p w14:paraId="6A52655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0.407</w:t>
            </w:r>
          </w:p>
        </w:tc>
        <w:tc>
          <w:tcPr>
            <w:tcW w:w="856" w:type="dxa"/>
          </w:tcPr>
          <w:p w14:paraId="760629F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0.288</w:t>
            </w:r>
          </w:p>
        </w:tc>
        <w:tc>
          <w:tcPr>
            <w:tcW w:w="1498" w:type="dxa"/>
          </w:tcPr>
          <w:p w14:paraId="658502D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0.736</w:t>
            </w:r>
          </w:p>
        </w:tc>
        <w:tc>
          <w:tcPr>
            <w:tcW w:w="535" w:type="dxa"/>
          </w:tcPr>
          <w:p w14:paraId="3ACB7DD3"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1848</w:t>
            </w:r>
          </w:p>
        </w:tc>
      </w:tr>
      <w:tr w:rsidR="00AC4E03" w:rsidRPr="005871E7" w14:paraId="29928BDF" w14:textId="77777777">
        <w:tc>
          <w:tcPr>
            <w:tcW w:w="2996" w:type="dxa"/>
          </w:tcPr>
          <w:p w14:paraId="3C28505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NA / No formal education</w:t>
            </w:r>
          </w:p>
        </w:tc>
        <w:tc>
          <w:tcPr>
            <w:tcW w:w="856" w:type="dxa"/>
          </w:tcPr>
          <w:p w14:paraId="719E08B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0.288</w:t>
            </w:r>
          </w:p>
        </w:tc>
        <w:tc>
          <w:tcPr>
            <w:tcW w:w="1177" w:type="dxa"/>
          </w:tcPr>
          <w:p w14:paraId="56C06343"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0.234</w:t>
            </w:r>
          </w:p>
        </w:tc>
        <w:tc>
          <w:tcPr>
            <w:tcW w:w="856" w:type="dxa"/>
          </w:tcPr>
          <w:p w14:paraId="2DACF003"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0.146</w:t>
            </w:r>
          </w:p>
        </w:tc>
        <w:tc>
          <w:tcPr>
            <w:tcW w:w="1498" w:type="dxa"/>
          </w:tcPr>
          <w:p w14:paraId="5E80616E"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0.514</w:t>
            </w:r>
          </w:p>
        </w:tc>
        <w:tc>
          <w:tcPr>
            <w:tcW w:w="535" w:type="dxa"/>
          </w:tcPr>
          <w:p w14:paraId="7E26979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3777</w:t>
            </w:r>
          </w:p>
        </w:tc>
      </w:tr>
    </w:tbl>
    <w:p w14:paraId="760CA1FB" w14:textId="77777777" w:rsidR="00AC4E03" w:rsidRPr="005871E7" w:rsidRDefault="00000000" w:rsidP="005871E7">
      <w:pPr>
        <w:pStyle w:val="Heading2"/>
        <w:spacing w:line="360" w:lineRule="auto"/>
        <w:jc w:val="both"/>
        <w:rPr>
          <w:rFonts w:ascii="Garamond" w:hAnsi="Garamond"/>
        </w:rPr>
      </w:pPr>
      <w:bookmarkStart w:id="58" w:name="Xbc621bb8cfa7406d547cc0ee9a0abe7a1f0a9ee"/>
      <w:bookmarkStart w:id="59" w:name="_Toc201569011"/>
      <w:bookmarkEnd w:id="50"/>
      <w:bookmarkEnd w:id="57"/>
      <w:r w:rsidRPr="005871E7">
        <w:rPr>
          <w:rFonts w:ascii="Garamond" w:hAnsi="Garamond"/>
        </w:rPr>
        <w:t>Statistical Test of Differences in Coverage by Education Level</w:t>
      </w:r>
      <w:bookmarkEnd w:id="59"/>
    </w:p>
    <w:p w14:paraId="5DAF0E52" w14:textId="77777777" w:rsidR="00AC4E03" w:rsidRPr="005871E7" w:rsidRDefault="00000000" w:rsidP="005871E7">
      <w:pPr>
        <w:pStyle w:val="FirstParagraph"/>
        <w:spacing w:line="360" w:lineRule="auto"/>
        <w:jc w:val="both"/>
        <w:rPr>
          <w:rFonts w:ascii="Garamond" w:hAnsi="Garamond"/>
        </w:rPr>
      </w:pPr>
      <w:r w:rsidRPr="005871E7">
        <w:rPr>
          <w:rFonts w:ascii="Garamond" w:hAnsi="Garamond"/>
        </w:rPr>
        <w:t>Pearson’s chi-squared tests were conducted to assess whether there are significant differences in the coverage of key child health interventions (Vitamin A Supplementation, Deworming, MUAC screening, and Immunization) by the highest education level of the household head. The strength of association was evaluated using Cramér’s V.</w:t>
      </w:r>
    </w:p>
    <w:p w14:paraId="1FC54E9C" w14:textId="77777777" w:rsidR="00AC4E03" w:rsidRPr="005871E7" w:rsidRDefault="00000000" w:rsidP="005871E7">
      <w:pPr>
        <w:pStyle w:val="BodyText"/>
        <w:spacing w:line="360" w:lineRule="auto"/>
        <w:jc w:val="both"/>
        <w:rPr>
          <w:rFonts w:ascii="Garamond" w:hAnsi="Garamond"/>
        </w:rPr>
      </w:pPr>
      <w:r w:rsidRPr="005871E7">
        <w:rPr>
          <w:rFonts w:ascii="Garamond" w:hAnsi="Garamond"/>
        </w:rPr>
        <w:t>Although, there are statistically significant differences in coverage rates for VAS and MUAC screening by household head education level, the magnitude of these associations is very weak, as indicated by low Cramér’s V values. No significant association was found for immunization coverage. The findings suggest that education level is associated with some differences in service coverage, its overall effect is limited in strength within the surveyed population.</w:t>
      </w:r>
    </w:p>
    <w:p w14:paraId="6F6582F2" w14:textId="77777777" w:rsidR="00AC4E03" w:rsidRPr="005871E7" w:rsidRDefault="00000000" w:rsidP="005871E7">
      <w:pPr>
        <w:pStyle w:val="Heading2"/>
        <w:spacing w:line="360" w:lineRule="auto"/>
        <w:jc w:val="both"/>
        <w:rPr>
          <w:rFonts w:ascii="Garamond" w:hAnsi="Garamond"/>
        </w:rPr>
      </w:pPr>
      <w:bookmarkStart w:id="60" w:name="Xeb5fa4916e0bb4a86c0a5929e5ace7e43f21ae0"/>
      <w:bookmarkStart w:id="61" w:name="_Toc201569012"/>
      <w:bookmarkEnd w:id="58"/>
      <w:r w:rsidRPr="005871E7">
        <w:rPr>
          <w:rFonts w:ascii="Garamond" w:hAnsi="Garamond"/>
        </w:rPr>
        <w:t>Awareness of MNCHW/SMC/VAS (source and purpose)</w:t>
      </w:r>
      <w:bookmarkEnd w:id="61"/>
    </w:p>
    <w:p w14:paraId="245D7AAC" w14:textId="77777777" w:rsidR="00AC4E03" w:rsidRPr="005871E7" w:rsidRDefault="00000000" w:rsidP="005871E7">
      <w:pPr>
        <w:pStyle w:val="FirstParagraph"/>
        <w:spacing w:line="360" w:lineRule="auto"/>
        <w:jc w:val="both"/>
        <w:rPr>
          <w:rFonts w:ascii="Garamond" w:hAnsi="Garamond"/>
        </w:rPr>
      </w:pPr>
      <w:r w:rsidRPr="005871E7">
        <w:rPr>
          <w:rFonts w:ascii="Garamond" w:hAnsi="Garamond"/>
        </w:rPr>
        <w:t>The table below presents the proportion of surveyed respondents who reported being aware of Maternal, Newborn, and Child Health Week (MNCHW), Seasonal Malaria Chemoprevention (SMC), and Vitamin A Supplementation (VAS).</w:t>
      </w:r>
    </w:p>
    <w:tbl>
      <w:tblPr>
        <w:tblStyle w:val="Table"/>
        <w:tblW w:w="0" w:type="auto"/>
        <w:tblLook w:val="0020" w:firstRow="1" w:lastRow="0" w:firstColumn="0" w:lastColumn="0" w:noHBand="0" w:noVBand="0"/>
      </w:tblPr>
      <w:tblGrid>
        <w:gridCol w:w="2206"/>
        <w:gridCol w:w="1909"/>
      </w:tblGrid>
      <w:tr w:rsidR="00AC4E03" w:rsidRPr="005871E7" w14:paraId="47D222C0" w14:textId="77777777" w:rsidTr="00AC4E03">
        <w:trPr>
          <w:cnfStyle w:val="100000000000" w:firstRow="1" w:lastRow="0" w:firstColumn="0" w:lastColumn="0" w:oddVBand="0" w:evenVBand="0" w:oddHBand="0" w:evenHBand="0" w:firstRowFirstColumn="0" w:firstRowLastColumn="0" w:lastRowFirstColumn="0" w:lastRowLastColumn="0"/>
          <w:tblHeader/>
        </w:trPr>
        <w:tc>
          <w:tcPr>
            <w:tcW w:w="0" w:type="auto"/>
          </w:tcPr>
          <w:p w14:paraId="3137DC9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Awareness Type</w:t>
            </w:r>
          </w:p>
        </w:tc>
        <w:tc>
          <w:tcPr>
            <w:tcW w:w="0" w:type="auto"/>
          </w:tcPr>
          <w:p w14:paraId="4716915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Proportion Aware</w:t>
            </w:r>
          </w:p>
        </w:tc>
      </w:tr>
      <w:tr w:rsidR="00AC4E03" w:rsidRPr="005871E7" w14:paraId="47AE74FA" w14:textId="77777777">
        <w:tc>
          <w:tcPr>
            <w:tcW w:w="0" w:type="auto"/>
          </w:tcPr>
          <w:p w14:paraId="638BF46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MNCHW Awareness</w:t>
            </w:r>
          </w:p>
        </w:tc>
        <w:tc>
          <w:tcPr>
            <w:tcW w:w="0" w:type="auto"/>
          </w:tcPr>
          <w:p w14:paraId="0B2C907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0.34</w:t>
            </w:r>
          </w:p>
        </w:tc>
      </w:tr>
      <w:tr w:rsidR="00AC4E03" w:rsidRPr="005871E7" w14:paraId="494EE141" w14:textId="77777777">
        <w:tc>
          <w:tcPr>
            <w:tcW w:w="0" w:type="auto"/>
          </w:tcPr>
          <w:p w14:paraId="0ACA7590"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lastRenderedPageBreak/>
              <w:t>SMC Awareness</w:t>
            </w:r>
          </w:p>
        </w:tc>
        <w:tc>
          <w:tcPr>
            <w:tcW w:w="0" w:type="auto"/>
          </w:tcPr>
          <w:p w14:paraId="140CC78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w:t>
            </w:r>
          </w:p>
        </w:tc>
      </w:tr>
      <w:tr w:rsidR="00AC4E03" w:rsidRPr="005871E7" w14:paraId="211F346B" w14:textId="77777777">
        <w:tc>
          <w:tcPr>
            <w:tcW w:w="0" w:type="auto"/>
          </w:tcPr>
          <w:p w14:paraId="72244D5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VAS Awareness</w:t>
            </w:r>
          </w:p>
        </w:tc>
        <w:tc>
          <w:tcPr>
            <w:tcW w:w="0" w:type="auto"/>
          </w:tcPr>
          <w:p w14:paraId="75B7A41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0.68</w:t>
            </w:r>
          </w:p>
        </w:tc>
      </w:tr>
    </w:tbl>
    <w:p w14:paraId="452A9E8C" w14:textId="77777777" w:rsidR="00AC4E03" w:rsidRPr="005871E7" w:rsidRDefault="00000000" w:rsidP="005871E7">
      <w:pPr>
        <w:pStyle w:val="BodyText"/>
        <w:spacing w:line="360" w:lineRule="auto"/>
        <w:jc w:val="both"/>
        <w:rPr>
          <w:rFonts w:ascii="Garamond" w:hAnsi="Garamond"/>
        </w:rPr>
      </w:pPr>
      <w:r w:rsidRPr="005871E7">
        <w:rPr>
          <w:rFonts w:ascii="Garamond" w:hAnsi="Garamond"/>
          <w:i/>
          <w:iCs/>
        </w:rPr>
        <w:t>Note: SMC awareness was not available (NA) from the dataset.</w:t>
      </w:r>
    </w:p>
    <w:p w14:paraId="0F114B1C" w14:textId="77777777" w:rsidR="00AC4E03" w:rsidRPr="005871E7" w:rsidRDefault="00000000" w:rsidP="005871E7">
      <w:pPr>
        <w:pStyle w:val="BodyText"/>
        <w:spacing w:line="360" w:lineRule="auto"/>
        <w:jc w:val="both"/>
        <w:rPr>
          <w:rFonts w:ascii="Garamond" w:hAnsi="Garamond"/>
        </w:rPr>
      </w:pPr>
      <w:r w:rsidRPr="005871E7">
        <w:rPr>
          <w:rFonts w:ascii="Garamond" w:hAnsi="Garamond"/>
        </w:rPr>
        <w:t>The results indicate that approximately 34% of respondents were aware of MNCHW, while a substantially higher proportion (68%) were aware of VAS. Data on SMC awareness was not available. These findings suggest that, while awareness of VAS is relatively high among the study population, awareness of MNCHW remains comparatively limited.</w:t>
      </w:r>
    </w:p>
    <w:p w14:paraId="257B3A61" w14:textId="77777777" w:rsidR="00AC4E03" w:rsidRPr="005871E7" w:rsidRDefault="00000000" w:rsidP="005871E7">
      <w:pPr>
        <w:pStyle w:val="Heading3"/>
        <w:spacing w:line="360" w:lineRule="auto"/>
        <w:jc w:val="both"/>
        <w:rPr>
          <w:rFonts w:ascii="Garamond" w:hAnsi="Garamond"/>
        </w:rPr>
      </w:pPr>
      <w:bookmarkStart w:id="62" w:name="X31a3d2e67041d782e860b55cc6c5ae3e2a3c3eb"/>
      <w:r w:rsidRPr="005871E7">
        <w:rPr>
          <w:rFonts w:ascii="Garamond" w:hAnsi="Garamond"/>
        </w:rPr>
        <w:t>Sources of Information for Vitamin A Supplementation (VAS)</w:t>
      </w:r>
    </w:p>
    <w:p w14:paraId="037B607A" w14:textId="77777777" w:rsidR="00AC4E03" w:rsidRPr="005871E7" w:rsidRDefault="00000000" w:rsidP="005871E7">
      <w:pPr>
        <w:pStyle w:val="FirstParagraph"/>
        <w:spacing w:line="360" w:lineRule="auto"/>
        <w:jc w:val="both"/>
        <w:rPr>
          <w:rFonts w:ascii="Garamond" w:hAnsi="Garamond"/>
        </w:rPr>
      </w:pPr>
      <w:r w:rsidRPr="005871E7">
        <w:rPr>
          <w:rFonts w:ascii="Garamond" w:hAnsi="Garamond"/>
        </w:rPr>
        <w:t>The table below summarizes the reported sources of information about Vitamin A Supplementation (VAS) among survey respondents. Each source is shown with the number and percentage of respondents who identified it as a channel through which they heard about VAS.</w:t>
      </w:r>
    </w:p>
    <w:tbl>
      <w:tblPr>
        <w:tblStyle w:val="Table"/>
        <w:tblW w:w="5000" w:type="pct"/>
        <w:tblLayout w:type="fixed"/>
        <w:tblLook w:val="0020" w:firstRow="1" w:lastRow="0" w:firstColumn="0" w:lastColumn="0" w:noHBand="0" w:noVBand="0"/>
      </w:tblPr>
      <w:tblGrid>
        <w:gridCol w:w="6880"/>
        <w:gridCol w:w="943"/>
        <w:gridCol w:w="1753"/>
      </w:tblGrid>
      <w:tr w:rsidR="00AC4E03" w:rsidRPr="005871E7" w14:paraId="11F295A1" w14:textId="77777777" w:rsidTr="00AC4E03">
        <w:trPr>
          <w:cnfStyle w:val="100000000000" w:firstRow="1" w:lastRow="0" w:firstColumn="0" w:lastColumn="0" w:oddVBand="0" w:evenVBand="0" w:oddHBand="0" w:evenHBand="0" w:firstRowFirstColumn="0" w:firstRowLastColumn="0" w:lastRowFirstColumn="0" w:lastRowLastColumn="0"/>
          <w:tblHeader/>
        </w:trPr>
        <w:tc>
          <w:tcPr>
            <w:tcW w:w="5689" w:type="dxa"/>
          </w:tcPr>
          <w:p w14:paraId="2F30D58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Source</w:t>
            </w:r>
          </w:p>
        </w:tc>
        <w:tc>
          <w:tcPr>
            <w:tcW w:w="780" w:type="dxa"/>
          </w:tcPr>
          <w:p w14:paraId="7F7B7DA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Frequency</w:t>
            </w:r>
          </w:p>
        </w:tc>
        <w:tc>
          <w:tcPr>
            <w:tcW w:w="1450" w:type="dxa"/>
          </w:tcPr>
          <w:p w14:paraId="3F8FFD3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Percent (%)</w:t>
            </w:r>
          </w:p>
        </w:tc>
      </w:tr>
      <w:tr w:rsidR="00AC4E03" w:rsidRPr="005871E7" w14:paraId="444242F8" w14:textId="77777777">
        <w:tc>
          <w:tcPr>
            <w:tcW w:w="5689" w:type="dxa"/>
          </w:tcPr>
          <w:p w14:paraId="2263091F"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Health facility staff</w:t>
            </w:r>
          </w:p>
        </w:tc>
        <w:tc>
          <w:tcPr>
            <w:tcW w:w="780" w:type="dxa"/>
          </w:tcPr>
          <w:p w14:paraId="4C61B69D"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3,826</w:t>
            </w:r>
          </w:p>
        </w:tc>
        <w:tc>
          <w:tcPr>
            <w:tcW w:w="1450" w:type="dxa"/>
          </w:tcPr>
          <w:p w14:paraId="5BA7826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47.4</w:t>
            </w:r>
          </w:p>
        </w:tc>
      </w:tr>
      <w:tr w:rsidR="00AC4E03" w:rsidRPr="005871E7" w14:paraId="1F9F32FC" w14:textId="77777777">
        <w:tc>
          <w:tcPr>
            <w:tcW w:w="5689" w:type="dxa"/>
          </w:tcPr>
          <w:p w14:paraId="3D0FFB9C"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Community health worker or SMC distributor</w:t>
            </w:r>
          </w:p>
        </w:tc>
        <w:tc>
          <w:tcPr>
            <w:tcW w:w="780" w:type="dxa"/>
          </w:tcPr>
          <w:p w14:paraId="29346F8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1,409</w:t>
            </w:r>
          </w:p>
        </w:tc>
        <w:tc>
          <w:tcPr>
            <w:tcW w:w="1450" w:type="dxa"/>
          </w:tcPr>
          <w:p w14:paraId="5BA68DE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17.5</w:t>
            </w:r>
          </w:p>
        </w:tc>
      </w:tr>
      <w:tr w:rsidR="00AC4E03" w:rsidRPr="005871E7" w14:paraId="7336D264" w14:textId="77777777">
        <w:tc>
          <w:tcPr>
            <w:tcW w:w="5689" w:type="dxa"/>
          </w:tcPr>
          <w:p w14:paraId="3973B36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Town announcer</w:t>
            </w:r>
          </w:p>
        </w:tc>
        <w:tc>
          <w:tcPr>
            <w:tcW w:w="780" w:type="dxa"/>
          </w:tcPr>
          <w:p w14:paraId="26B5752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626</w:t>
            </w:r>
          </w:p>
        </w:tc>
        <w:tc>
          <w:tcPr>
            <w:tcW w:w="1450" w:type="dxa"/>
          </w:tcPr>
          <w:p w14:paraId="1A5CBFCD"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7.8</w:t>
            </w:r>
          </w:p>
        </w:tc>
      </w:tr>
      <w:tr w:rsidR="00AC4E03" w:rsidRPr="005871E7" w14:paraId="0E1DBB10" w14:textId="77777777">
        <w:tc>
          <w:tcPr>
            <w:tcW w:w="5689" w:type="dxa"/>
          </w:tcPr>
          <w:p w14:paraId="19324C0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Local leader</w:t>
            </w:r>
          </w:p>
        </w:tc>
        <w:tc>
          <w:tcPr>
            <w:tcW w:w="780" w:type="dxa"/>
          </w:tcPr>
          <w:p w14:paraId="399A77A3"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624</w:t>
            </w:r>
          </w:p>
        </w:tc>
        <w:tc>
          <w:tcPr>
            <w:tcW w:w="1450" w:type="dxa"/>
          </w:tcPr>
          <w:p w14:paraId="75EC87AC"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7.7</w:t>
            </w:r>
          </w:p>
        </w:tc>
      </w:tr>
      <w:tr w:rsidR="00AC4E03" w:rsidRPr="005871E7" w14:paraId="65988E26" w14:textId="77777777">
        <w:tc>
          <w:tcPr>
            <w:tcW w:w="5689" w:type="dxa"/>
          </w:tcPr>
          <w:p w14:paraId="259E05BE"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Religious leader</w:t>
            </w:r>
          </w:p>
        </w:tc>
        <w:tc>
          <w:tcPr>
            <w:tcW w:w="780" w:type="dxa"/>
          </w:tcPr>
          <w:p w14:paraId="3A4F14F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320</w:t>
            </w:r>
          </w:p>
        </w:tc>
        <w:tc>
          <w:tcPr>
            <w:tcW w:w="1450" w:type="dxa"/>
          </w:tcPr>
          <w:p w14:paraId="06E3A0B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4.0</w:t>
            </w:r>
          </w:p>
        </w:tc>
      </w:tr>
      <w:tr w:rsidR="00AC4E03" w:rsidRPr="005871E7" w14:paraId="3B60BA17" w14:textId="77777777">
        <w:tc>
          <w:tcPr>
            <w:tcW w:w="5689" w:type="dxa"/>
          </w:tcPr>
          <w:p w14:paraId="28923E9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Word of mouth (friends or family)</w:t>
            </w:r>
          </w:p>
        </w:tc>
        <w:tc>
          <w:tcPr>
            <w:tcW w:w="780" w:type="dxa"/>
          </w:tcPr>
          <w:p w14:paraId="0D7716B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291</w:t>
            </w:r>
          </w:p>
        </w:tc>
        <w:tc>
          <w:tcPr>
            <w:tcW w:w="1450" w:type="dxa"/>
          </w:tcPr>
          <w:p w14:paraId="2CAE723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3.6</w:t>
            </w:r>
          </w:p>
        </w:tc>
      </w:tr>
      <w:tr w:rsidR="00AC4E03" w:rsidRPr="005871E7" w14:paraId="33719743" w14:textId="77777777">
        <w:tc>
          <w:tcPr>
            <w:tcW w:w="5689" w:type="dxa"/>
          </w:tcPr>
          <w:p w14:paraId="08CFE5D7"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MNCH Week</w:t>
            </w:r>
          </w:p>
        </w:tc>
        <w:tc>
          <w:tcPr>
            <w:tcW w:w="780" w:type="dxa"/>
          </w:tcPr>
          <w:p w14:paraId="2AB128A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231</w:t>
            </w:r>
          </w:p>
        </w:tc>
        <w:tc>
          <w:tcPr>
            <w:tcW w:w="1450" w:type="dxa"/>
          </w:tcPr>
          <w:p w14:paraId="69711CF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2.9</w:t>
            </w:r>
          </w:p>
        </w:tc>
      </w:tr>
      <w:tr w:rsidR="00AC4E03" w:rsidRPr="005871E7" w14:paraId="3BCDBBAA" w14:textId="77777777">
        <w:tc>
          <w:tcPr>
            <w:tcW w:w="5689" w:type="dxa"/>
          </w:tcPr>
          <w:p w14:paraId="27C4A32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Radio</w:t>
            </w:r>
          </w:p>
        </w:tc>
        <w:tc>
          <w:tcPr>
            <w:tcW w:w="780" w:type="dxa"/>
          </w:tcPr>
          <w:p w14:paraId="3DB409C0"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198</w:t>
            </w:r>
          </w:p>
        </w:tc>
        <w:tc>
          <w:tcPr>
            <w:tcW w:w="1450" w:type="dxa"/>
          </w:tcPr>
          <w:p w14:paraId="3EE6EAE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2.5</w:t>
            </w:r>
          </w:p>
        </w:tc>
      </w:tr>
      <w:tr w:rsidR="00AC4E03" w:rsidRPr="005871E7" w14:paraId="202C6CF1" w14:textId="77777777">
        <w:tc>
          <w:tcPr>
            <w:tcW w:w="5689" w:type="dxa"/>
          </w:tcPr>
          <w:p w14:paraId="5EA5413F"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Other</w:t>
            </w:r>
          </w:p>
        </w:tc>
        <w:tc>
          <w:tcPr>
            <w:tcW w:w="780" w:type="dxa"/>
          </w:tcPr>
          <w:p w14:paraId="04C4FB96"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33</w:t>
            </w:r>
          </w:p>
        </w:tc>
        <w:tc>
          <w:tcPr>
            <w:tcW w:w="1450" w:type="dxa"/>
          </w:tcPr>
          <w:p w14:paraId="13F459F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0.4</w:t>
            </w:r>
          </w:p>
        </w:tc>
      </w:tr>
      <w:tr w:rsidR="00AC4E03" w:rsidRPr="005871E7" w14:paraId="2371B258" w14:textId="77777777">
        <w:tc>
          <w:tcPr>
            <w:tcW w:w="5689" w:type="dxa"/>
          </w:tcPr>
          <w:p w14:paraId="635C17F7"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Television</w:t>
            </w:r>
          </w:p>
        </w:tc>
        <w:tc>
          <w:tcPr>
            <w:tcW w:w="780" w:type="dxa"/>
          </w:tcPr>
          <w:p w14:paraId="5F10445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21</w:t>
            </w:r>
          </w:p>
        </w:tc>
        <w:tc>
          <w:tcPr>
            <w:tcW w:w="1450" w:type="dxa"/>
          </w:tcPr>
          <w:p w14:paraId="0E1A566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0.3</w:t>
            </w:r>
          </w:p>
        </w:tc>
      </w:tr>
      <w:tr w:rsidR="00AC4E03" w:rsidRPr="005871E7" w14:paraId="59F306C0" w14:textId="77777777">
        <w:tc>
          <w:tcPr>
            <w:tcW w:w="5689" w:type="dxa"/>
          </w:tcPr>
          <w:p w14:paraId="5BD3964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Printed materials or banners</w:t>
            </w:r>
          </w:p>
        </w:tc>
        <w:tc>
          <w:tcPr>
            <w:tcW w:w="780" w:type="dxa"/>
          </w:tcPr>
          <w:p w14:paraId="5F3950D3"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16</w:t>
            </w:r>
          </w:p>
        </w:tc>
        <w:tc>
          <w:tcPr>
            <w:tcW w:w="1450" w:type="dxa"/>
          </w:tcPr>
          <w:p w14:paraId="34DE947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0.2</w:t>
            </w:r>
          </w:p>
        </w:tc>
      </w:tr>
    </w:tbl>
    <w:p w14:paraId="5B56EC4F" w14:textId="77777777" w:rsidR="00AC4E03" w:rsidRPr="005871E7" w:rsidRDefault="00000000" w:rsidP="005871E7">
      <w:pPr>
        <w:pStyle w:val="BodyText"/>
        <w:spacing w:line="360" w:lineRule="auto"/>
        <w:jc w:val="both"/>
        <w:rPr>
          <w:rFonts w:ascii="Garamond" w:hAnsi="Garamond"/>
        </w:rPr>
      </w:pPr>
      <w:r w:rsidRPr="005871E7">
        <w:rPr>
          <w:rFonts w:ascii="Garamond" w:hAnsi="Garamond"/>
        </w:rPr>
        <w:lastRenderedPageBreak/>
        <w:t>The findings indicate that health facility staff were by far the most common source of information about VAS, cited by nearly half (47.4%) of respondents. Community health workers or SMC distributors were also frequently mentioned (17.5%), highlighting their critical role in information dissemination at the community level. Other prominent sources included town announcers (7.8%) and local leaders (7.7%). Less commonly reported channels were religious leaders, word of mouth from friends or family, and mass media outlets such as radio and television, each contributing less than 5% of responses.</w:t>
      </w:r>
    </w:p>
    <w:p w14:paraId="30B47681" w14:textId="77777777" w:rsidR="00AC4E03" w:rsidRPr="005871E7" w:rsidRDefault="00000000" w:rsidP="005871E7">
      <w:pPr>
        <w:pStyle w:val="BodyText"/>
        <w:spacing w:line="360" w:lineRule="auto"/>
        <w:jc w:val="both"/>
        <w:rPr>
          <w:rFonts w:ascii="Garamond" w:hAnsi="Garamond"/>
        </w:rPr>
      </w:pPr>
      <w:r w:rsidRPr="005871E7">
        <w:rPr>
          <w:rFonts w:ascii="Garamond" w:hAnsi="Garamond"/>
          <w:noProof/>
        </w:rPr>
        <w:drawing>
          <wp:inline distT="0" distB="0" distL="0" distR="0" wp14:anchorId="2490C8DD" wp14:editId="61769316">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MC-SMCVAS-Baseline-Analysis_files/figure-docx/unnamed-chunk-2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6330A9B" w14:textId="77777777" w:rsidR="00AC4E03" w:rsidRPr="005871E7" w:rsidRDefault="00000000" w:rsidP="005871E7">
      <w:pPr>
        <w:pStyle w:val="Heading2"/>
        <w:spacing w:line="360" w:lineRule="auto"/>
        <w:jc w:val="both"/>
        <w:rPr>
          <w:rFonts w:ascii="Garamond" w:hAnsi="Garamond"/>
        </w:rPr>
      </w:pPr>
      <w:bookmarkStart w:id="63" w:name="X952536fa81475b8012b37050586de1536f76d40"/>
      <w:bookmarkStart w:id="64" w:name="_Toc201569013"/>
      <w:bookmarkEnd w:id="60"/>
      <w:bookmarkEnd w:id="62"/>
      <w:r w:rsidRPr="005871E7">
        <w:rPr>
          <w:rFonts w:ascii="Garamond" w:hAnsi="Garamond"/>
        </w:rPr>
        <w:t>VAS Coverage Among Children Aged 6–59 Months</w:t>
      </w:r>
      <w:bookmarkEnd w:id="64"/>
    </w:p>
    <w:p w14:paraId="3F2AAAAF" w14:textId="77777777" w:rsidR="00AC4E03" w:rsidRPr="005871E7" w:rsidRDefault="00000000" w:rsidP="005871E7">
      <w:pPr>
        <w:pStyle w:val="FirstParagraph"/>
        <w:spacing w:line="360" w:lineRule="auto"/>
        <w:jc w:val="both"/>
        <w:rPr>
          <w:rFonts w:ascii="Garamond" w:hAnsi="Garamond"/>
        </w:rPr>
      </w:pPr>
      <w:r w:rsidRPr="005871E7">
        <w:rPr>
          <w:rFonts w:ascii="Garamond" w:hAnsi="Garamond"/>
        </w:rPr>
        <w:t>This section presents the analysis of Vitamin A Supplementation (VAS) receipt among children aged 6–59 months. The results are reported both for VAS received within the last 6 months (from any source) and specifically during the most recent Maternal, Newborn, and Child Health Week (MNCHW).</w:t>
      </w:r>
    </w:p>
    <w:p w14:paraId="62E2D543" w14:textId="77777777" w:rsidR="00AC4E03" w:rsidRPr="005871E7" w:rsidRDefault="00000000" w:rsidP="005871E7">
      <w:pPr>
        <w:pStyle w:val="Heading3"/>
        <w:spacing w:line="360" w:lineRule="auto"/>
        <w:jc w:val="both"/>
        <w:rPr>
          <w:rFonts w:ascii="Garamond" w:hAnsi="Garamond"/>
        </w:rPr>
      </w:pPr>
      <w:bookmarkStart w:id="65" w:name="X4b182a3945004882c6c8d42eb70804a1eb53e44"/>
      <w:r w:rsidRPr="005871E7">
        <w:rPr>
          <w:rFonts w:ascii="Garamond" w:hAnsi="Garamond"/>
        </w:rPr>
        <w:lastRenderedPageBreak/>
        <w:t>Receipt of Child Health Interventions Among Children Aged 6–59 Months</w:t>
      </w:r>
    </w:p>
    <w:p w14:paraId="331C5570" w14:textId="77777777" w:rsidR="00AC4E03" w:rsidRPr="005871E7" w:rsidRDefault="00000000" w:rsidP="005871E7">
      <w:pPr>
        <w:pStyle w:val="Heading4"/>
        <w:spacing w:line="360" w:lineRule="auto"/>
        <w:jc w:val="both"/>
        <w:rPr>
          <w:rFonts w:ascii="Garamond" w:hAnsi="Garamond"/>
        </w:rPr>
      </w:pPr>
      <w:bookmarkStart w:id="66" w:name="Xa73300b8a11811078d465a0ef8b0d81b37b3a0d"/>
      <w:r w:rsidRPr="005871E7">
        <w:rPr>
          <w:rFonts w:ascii="Garamond" w:hAnsi="Garamond"/>
        </w:rPr>
        <w:t>Vitamin A Supplementation (VAS) in the Last 6 Months</w:t>
      </w:r>
    </w:p>
    <w:p w14:paraId="61068B51" w14:textId="77777777" w:rsidR="00AC4E03" w:rsidRPr="005871E7" w:rsidRDefault="00000000" w:rsidP="005871E7">
      <w:pPr>
        <w:pStyle w:val="FirstParagraph"/>
        <w:spacing w:line="360" w:lineRule="auto"/>
        <w:jc w:val="both"/>
        <w:rPr>
          <w:rFonts w:ascii="Garamond" w:hAnsi="Garamond"/>
        </w:rPr>
      </w:pPr>
      <w:r w:rsidRPr="005871E7">
        <w:rPr>
          <w:rFonts w:ascii="Garamond" w:hAnsi="Garamond"/>
        </w:rPr>
        <w:t>Among children aged 6–59 months, 39.8% received vitamin A supplementation in the past 6 months, while 60.2% did not receive a dose during this period. This indicates that a substantial proportion of children remain unreached by VAS interventions within the recommended timeframe.</w:t>
      </w:r>
    </w:p>
    <w:tbl>
      <w:tblPr>
        <w:tblStyle w:val="Table"/>
        <w:tblW w:w="0" w:type="auto"/>
        <w:tblLook w:val="0020" w:firstRow="1" w:lastRow="0" w:firstColumn="0" w:lastColumn="0" w:noHBand="0" w:noVBand="0"/>
      </w:tblPr>
      <w:tblGrid>
        <w:gridCol w:w="3201"/>
        <w:gridCol w:w="719"/>
        <w:gridCol w:w="1321"/>
      </w:tblGrid>
      <w:tr w:rsidR="00AC4E03" w:rsidRPr="005871E7" w14:paraId="03487F4B" w14:textId="77777777" w:rsidTr="00AC4E03">
        <w:trPr>
          <w:cnfStyle w:val="100000000000" w:firstRow="1" w:lastRow="0" w:firstColumn="0" w:lastColumn="0" w:oddVBand="0" w:evenVBand="0" w:oddHBand="0" w:evenHBand="0" w:firstRowFirstColumn="0" w:firstRowLastColumn="0" w:lastRowFirstColumn="0" w:lastRowLastColumn="0"/>
          <w:tblHeader/>
        </w:trPr>
        <w:tc>
          <w:tcPr>
            <w:tcW w:w="0" w:type="auto"/>
          </w:tcPr>
          <w:p w14:paraId="531B964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Received VAS in Last 6 Months</w:t>
            </w:r>
          </w:p>
        </w:tc>
        <w:tc>
          <w:tcPr>
            <w:tcW w:w="0" w:type="auto"/>
          </w:tcPr>
          <w:p w14:paraId="6460817F"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n</w:t>
            </w:r>
          </w:p>
        </w:tc>
        <w:tc>
          <w:tcPr>
            <w:tcW w:w="0" w:type="auto"/>
          </w:tcPr>
          <w:p w14:paraId="6554DA53"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Percent (%)</w:t>
            </w:r>
          </w:p>
        </w:tc>
      </w:tr>
      <w:tr w:rsidR="00AC4E03" w:rsidRPr="005871E7" w14:paraId="6E3C3798" w14:textId="77777777">
        <w:tc>
          <w:tcPr>
            <w:tcW w:w="0" w:type="auto"/>
          </w:tcPr>
          <w:p w14:paraId="0F480B4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No</w:t>
            </w:r>
          </w:p>
        </w:tc>
        <w:tc>
          <w:tcPr>
            <w:tcW w:w="0" w:type="auto"/>
          </w:tcPr>
          <w:p w14:paraId="59E4A07E"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4,258</w:t>
            </w:r>
          </w:p>
        </w:tc>
        <w:tc>
          <w:tcPr>
            <w:tcW w:w="0" w:type="auto"/>
          </w:tcPr>
          <w:p w14:paraId="32EDF77D"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60.2</w:t>
            </w:r>
          </w:p>
        </w:tc>
      </w:tr>
      <w:tr w:rsidR="00AC4E03" w:rsidRPr="005871E7" w14:paraId="756D3470" w14:textId="77777777">
        <w:tc>
          <w:tcPr>
            <w:tcW w:w="0" w:type="auto"/>
          </w:tcPr>
          <w:p w14:paraId="172DC37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Yes</w:t>
            </w:r>
          </w:p>
        </w:tc>
        <w:tc>
          <w:tcPr>
            <w:tcW w:w="0" w:type="auto"/>
          </w:tcPr>
          <w:p w14:paraId="51B0B92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2,815</w:t>
            </w:r>
          </w:p>
        </w:tc>
        <w:tc>
          <w:tcPr>
            <w:tcW w:w="0" w:type="auto"/>
          </w:tcPr>
          <w:p w14:paraId="03BC9A0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39.8</w:t>
            </w:r>
          </w:p>
        </w:tc>
      </w:tr>
    </w:tbl>
    <w:p w14:paraId="7981943C" w14:textId="77777777" w:rsidR="00AC4E03" w:rsidRPr="005871E7" w:rsidRDefault="00000000" w:rsidP="005871E7">
      <w:pPr>
        <w:pStyle w:val="Heading4"/>
        <w:spacing w:line="360" w:lineRule="auto"/>
        <w:jc w:val="both"/>
        <w:rPr>
          <w:rFonts w:ascii="Garamond" w:hAnsi="Garamond"/>
        </w:rPr>
      </w:pPr>
      <w:bookmarkStart w:id="67" w:name="receipt-of-smc-cycle-1"/>
      <w:bookmarkEnd w:id="66"/>
      <w:r w:rsidRPr="005871E7">
        <w:rPr>
          <w:rFonts w:ascii="Garamond" w:hAnsi="Garamond"/>
        </w:rPr>
        <w:t>Receipt of SMC (Cycle 1)</w:t>
      </w:r>
    </w:p>
    <w:p w14:paraId="7B20C332" w14:textId="77777777" w:rsidR="00AC4E03" w:rsidRPr="005871E7" w:rsidRDefault="00000000" w:rsidP="005871E7">
      <w:pPr>
        <w:pStyle w:val="FirstParagraph"/>
        <w:spacing w:line="360" w:lineRule="auto"/>
        <w:jc w:val="both"/>
        <w:rPr>
          <w:rFonts w:ascii="Garamond" w:hAnsi="Garamond"/>
        </w:rPr>
      </w:pPr>
      <w:r w:rsidRPr="005871E7">
        <w:rPr>
          <w:rFonts w:ascii="Garamond" w:hAnsi="Garamond"/>
        </w:rPr>
        <w:t>The data show that 61.3% (n = 4,335) of children received SMC during Cycle 1. However, 38.7% (n=2,738) did not received the SMC during Cycle 1.</w:t>
      </w:r>
    </w:p>
    <w:tbl>
      <w:tblPr>
        <w:tblStyle w:val="Table"/>
        <w:tblW w:w="0" w:type="auto"/>
        <w:tblLook w:val="0020" w:firstRow="1" w:lastRow="0" w:firstColumn="0" w:lastColumn="0" w:noHBand="0" w:noVBand="0"/>
      </w:tblPr>
      <w:tblGrid>
        <w:gridCol w:w="2461"/>
        <w:gridCol w:w="719"/>
        <w:gridCol w:w="1321"/>
      </w:tblGrid>
      <w:tr w:rsidR="00AC4E03" w:rsidRPr="005871E7" w14:paraId="6FC0E0B1" w14:textId="77777777" w:rsidTr="00AC4E03">
        <w:trPr>
          <w:cnfStyle w:val="100000000000" w:firstRow="1" w:lastRow="0" w:firstColumn="0" w:lastColumn="0" w:oddVBand="0" w:evenVBand="0" w:oddHBand="0" w:evenHBand="0" w:firstRowFirstColumn="0" w:firstRowLastColumn="0" w:lastRowFirstColumn="0" w:lastRowLastColumn="0"/>
          <w:tblHeader/>
        </w:trPr>
        <w:tc>
          <w:tcPr>
            <w:tcW w:w="0" w:type="auto"/>
          </w:tcPr>
          <w:p w14:paraId="32ED49AE"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Received SMC (Cycle 1)</w:t>
            </w:r>
          </w:p>
        </w:tc>
        <w:tc>
          <w:tcPr>
            <w:tcW w:w="0" w:type="auto"/>
          </w:tcPr>
          <w:p w14:paraId="54305D1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n</w:t>
            </w:r>
          </w:p>
        </w:tc>
        <w:tc>
          <w:tcPr>
            <w:tcW w:w="0" w:type="auto"/>
          </w:tcPr>
          <w:p w14:paraId="5E6F529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Percent (%)</w:t>
            </w:r>
          </w:p>
        </w:tc>
      </w:tr>
      <w:tr w:rsidR="00AC4E03" w:rsidRPr="005871E7" w14:paraId="3F479044" w14:textId="77777777">
        <w:tc>
          <w:tcPr>
            <w:tcW w:w="0" w:type="auto"/>
          </w:tcPr>
          <w:p w14:paraId="5578E51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Yes</w:t>
            </w:r>
          </w:p>
        </w:tc>
        <w:tc>
          <w:tcPr>
            <w:tcW w:w="0" w:type="auto"/>
          </w:tcPr>
          <w:p w14:paraId="19F916FF"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4,335</w:t>
            </w:r>
          </w:p>
        </w:tc>
        <w:tc>
          <w:tcPr>
            <w:tcW w:w="0" w:type="auto"/>
          </w:tcPr>
          <w:p w14:paraId="03F3E93E"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61.3</w:t>
            </w:r>
          </w:p>
        </w:tc>
      </w:tr>
      <w:tr w:rsidR="00AC4E03" w:rsidRPr="005871E7" w14:paraId="03530F74" w14:textId="77777777">
        <w:tc>
          <w:tcPr>
            <w:tcW w:w="0" w:type="auto"/>
          </w:tcPr>
          <w:p w14:paraId="3776690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NA / Missing</w:t>
            </w:r>
          </w:p>
        </w:tc>
        <w:tc>
          <w:tcPr>
            <w:tcW w:w="0" w:type="auto"/>
          </w:tcPr>
          <w:p w14:paraId="54A71F3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2,738</w:t>
            </w:r>
          </w:p>
        </w:tc>
        <w:tc>
          <w:tcPr>
            <w:tcW w:w="0" w:type="auto"/>
          </w:tcPr>
          <w:p w14:paraId="2A6517E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38.7</w:t>
            </w:r>
          </w:p>
        </w:tc>
      </w:tr>
    </w:tbl>
    <w:p w14:paraId="24848565" w14:textId="77777777" w:rsidR="00AC4E03" w:rsidRPr="005871E7" w:rsidRDefault="00000000" w:rsidP="005871E7">
      <w:pPr>
        <w:pStyle w:val="Heading4"/>
        <w:spacing w:line="360" w:lineRule="auto"/>
        <w:jc w:val="both"/>
        <w:rPr>
          <w:rFonts w:ascii="Garamond" w:hAnsi="Garamond"/>
        </w:rPr>
      </w:pPr>
      <w:bookmarkStart w:id="68" w:name="deworming-tablet-during-last-mnchw"/>
      <w:bookmarkEnd w:id="67"/>
      <w:r w:rsidRPr="005871E7">
        <w:rPr>
          <w:rFonts w:ascii="Garamond" w:hAnsi="Garamond"/>
        </w:rPr>
        <w:t>Deworming Tablet During Last MNCHW</w:t>
      </w:r>
    </w:p>
    <w:p w14:paraId="0AFE4CA3" w14:textId="77777777" w:rsidR="00AC4E03" w:rsidRPr="005871E7" w:rsidRDefault="00000000" w:rsidP="005871E7">
      <w:pPr>
        <w:pStyle w:val="FirstParagraph"/>
        <w:spacing w:line="360" w:lineRule="auto"/>
        <w:jc w:val="both"/>
        <w:rPr>
          <w:rFonts w:ascii="Garamond" w:hAnsi="Garamond"/>
        </w:rPr>
      </w:pPr>
      <w:r w:rsidRPr="005871E7">
        <w:rPr>
          <w:rFonts w:ascii="Garamond" w:hAnsi="Garamond"/>
        </w:rPr>
        <w:t>The most common place for children to receive deworming tablets during the last MNCHW was the health facility (18.1%), followed by community drug distributors visiting households (10.9%), and outreach posts (3.0%). However, 67.7% of children had no recorded data for deworming tablet receipt, indicating a potential gap in service uptake or reporting.</w:t>
      </w:r>
    </w:p>
    <w:tbl>
      <w:tblPr>
        <w:tblStyle w:val="Table"/>
        <w:tblW w:w="5000" w:type="pct"/>
        <w:tblLayout w:type="fixed"/>
        <w:tblLook w:val="0020" w:firstRow="1" w:lastRow="0" w:firstColumn="0" w:lastColumn="0" w:noHBand="0" w:noVBand="0"/>
      </w:tblPr>
      <w:tblGrid>
        <w:gridCol w:w="4911"/>
        <w:gridCol w:w="736"/>
        <w:gridCol w:w="1596"/>
        <w:gridCol w:w="2333"/>
      </w:tblGrid>
      <w:tr w:rsidR="00AC4E03" w:rsidRPr="005871E7" w14:paraId="1440BF51" w14:textId="77777777" w:rsidTr="00AC4E03">
        <w:trPr>
          <w:cnfStyle w:val="100000000000" w:firstRow="1" w:lastRow="0" w:firstColumn="0" w:lastColumn="0" w:oddVBand="0" w:evenVBand="0" w:oddHBand="0" w:evenHBand="0" w:firstRowFirstColumn="0" w:firstRowLastColumn="0" w:lastRowFirstColumn="0" w:lastRowLastColumn="0"/>
          <w:tblHeader/>
        </w:trPr>
        <w:tc>
          <w:tcPr>
            <w:tcW w:w="4061" w:type="dxa"/>
          </w:tcPr>
          <w:p w14:paraId="58CEC4A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Place</w:t>
            </w:r>
          </w:p>
        </w:tc>
        <w:tc>
          <w:tcPr>
            <w:tcW w:w="609" w:type="dxa"/>
          </w:tcPr>
          <w:p w14:paraId="0F5A564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n</w:t>
            </w:r>
          </w:p>
        </w:tc>
        <w:tc>
          <w:tcPr>
            <w:tcW w:w="1320" w:type="dxa"/>
          </w:tcPr>
          <w:p w14:paraId="17AC394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Percent (%)</w:t>
            </w:r>
          </w:p>
        </w:tc>
        <w:tc>
          <w:tcPr>
            <w:tcW w:w="1929" w:type="dxa"/>
          </w:tcPr>
          <w:p w14:paraId="451D688D"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Valid Percent (%)</w:t>
            </w:r>
          </w:p>
        </w:tc>
      </w:tr>
      <w:tr w:rsidR="00AC4E03" w:rsidRPr="005871E7" w14:paraId="2D77397F" w14:textId="77777777">
        <w:tc>
          <w:tcPr>
            <w:tcW w:w="4061" w:type="dxa"/>
          </w:tcPr>
          <w:p w14:paraId="12F854F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Health facility</w:t>
            </w:r>
          </w:p>
        </w:tc>
        <w:tc>
          <w:tcPr>
            <w:tcW w:w="609" w:type="dxa"/>
          </w:tcPr>
          <w:p w14:paraId="5BDFD5E7"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1,281</w:t>
            </w:r>
          </w:p>
        </w:tc>
        <w:tc>
          <w:tcPr>
            <w:tcW w:w="1320" w:type="dxa"/>
          </w:tcPr>
          <w:p w14:paraId="351DE0C6"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18.1</w:t>
            </w:r>
          </w:p>
        </w:tc>
        <w:tc>
          <w:tcPr>
            <w:tcW w:w="1929" w:type="dxa"/>
          </w:tcPr>
          <w:p w14:paraId="5644EE4F"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56.1</w:t>
            </w:r>
          </w:p>
        </w:tc>
      </w:tr>
      <w:tr w:rsidR="00AC4E03" w:rsidRPr="005871E7" w14:paraId="3DD6F9F7" w14:textId="77777777">
        <w:tc>
          <w:tcPr>
            <w:tcW w:w="4061" w:type="dxa"/>
          </w:tcPr>
          <w:p w14:paraId="51E58D16"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Community drug distributor to house</w:t>
            </w:r>
          </w:p>
        </w:tc>
        <w:tc>
          <w:tcPr>
            <w:tcW w:w="609" w:type="dxa"/>
          </w:tcPr>
          <w:p w14:paraId="6E625790"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772</w:t>
            </w:r>
          </w:p>
        </w:tc>
        <w:tc>
          <w:tcPr>
            <w:tcW w:w="1320" w:type="dxa"/>
          </w:tcPr>
          <w:p w14:paraId="4DC60F9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10.9</w:t>
            </w:r>
          </w:p>
        </w:tc>
        <w:tc>
          <w:tcPr>
            <w:tcW w:w="1929" w:type="dxa"/>
          </w:tcPr>
          <w:p w14:paraId="425123C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33.8</w:t>
            </w:r>
          </w:p>
        </w:tc>
      </w:tr>
      <w:tr w:rsidR="00AC4E03" w:rsidRPr="005871E7" w14:paraId="3967A1EE" w14:textId="77777777">
        <w:tc>
          <w:tcPr>
            <w:tcW w:w="4061" w:type="dxa"/>
          </w:tcPr>
          <w:p w14:paraId="7B403CB0"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MNCH week outreach post</w:t>
            </w:r>
          </w:p>
        </w:tc>
        <w:tc>
          <w:tcPr>
            <w:tcW w:w="609" w:type="dxa"/>
          </w:tcPr>
          <w:p w14:paraId="6A65227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210</w:t>
            </w:r>
          </w:p>
        </w:tc>
        <w:tc>
          <w:tcPr>
            <w:tcW w:w="1320" w:type="dxa"/>
          </w:tcPr>
          <w:p w14:paraId="44E8639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3.0</w:t>
            </w:r>
          </w:p>
        </w:tc>
        <w:tc>
          <w:tcPr>
            <w:tcW w:w="1929" w:type="dxa"/>
          </w:tcPr>
          <w:p w14:paraId="22412CFD"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9.2</w:t>
            </w:r>
          </w:p>
        </w:tc>
      </w:tr>
      <w:tr w:rsidR="00AC4E03" w:rsidRPr="005871E7" w14:paraId="38BD7511" w14:textId="77777777">
        <w:tc>
          <w:tcPr>
            <w:tcW w:w="4061" w:type="dxa"/>
          </w:tcPr>
          <w:p w14:paraId="57BBEDE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Others</w:t>
            </w:r>
          </w:p>
        </w:tc>
        <w:tc>
          <w:tcPr>
            <w:tcW w:w="609" w:type="dxa"/>
          </w:tcPr>
          <w:p w14:paraId="5FA23A23"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22</w:t>
            </w:r>
          </w:p>
        </w:tc>
        <w:tc>
          <w:tcPr>
            <w:tcW w:w="1320" w:type="dxa"/>
          </w:tcPr>
          <w:p w14:paraId="6D9D49A6"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0.3</w:t>
            </w:r>
          </w:p>
        </w:tc>
        <w:tc>
          <w:tcPr>
            <w:tcW w:w="1929" w:type="dxa"/>
          </w:tcPr>
          <w:p w14:paraId="461F4596"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1.0</w:t>
            </w:r>
          </w:p>
        </w:tc>
      </w:tr>
      <w:tr w:rsidR="00AC4E03" w:rsidRPr="005871E7" w14:paraId="53CBD2CA" w14:textId="77777777">
        <w:tc>
          <w:tcPr>
            <w:tcW w:w="4061" w:type="dxa"/>
          </w:tcPr>
          <w:p w14:paraId="5740E46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NA / Missing</w:t>
            </w:r>
          </w:p>
        </w:tc>
        <w:tc>
          <w:tcPr>
            <w:tcW w:w="609" w:type="dxa"/>
          </w:tcPr>
          <w:p w14:paraId="6F86BAA6"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4,788</w:t>
            </w:r>
          </w:p>
        </w:tc>
        <w:tc>
          <w:tcPr>
            <w:tcW w:w="1320" w:type="dxa"/>
          </w:tcPr>
          <w:p w14:paraId="1EB368D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67.7</w:t>
            </w:r>
          </w:p>
        </w:tc>
        <w:tc>
          <w:tcPr>
            <w:tcW w:w="1929" w:type="dxa"/>
          </w:tcPr>
          <w:p w14:paraId="63C9E7B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w:t>
            </w:r>
          </w:p>
        </w:tc>
      </w:tr>
    </w:tbl>
    <w:p w14:paraId="4D6271C3" w14:textId="77777777" w:rsidR="00AC4E03" w:rsidRPr="005871E7" w:rsidRDefault="00000000" w:rsidP="005871E7">
      <w:pPr>
        <w:pStyle w:val="Heading4"/>
        <w:spacing w:line="360" w:lineRule="auto"/>
        <w:jc w:val="both"/>
        <w:rPr>
          <w:rFonts w:ascii="Garamond" w:hAnsi="Garamond"/>
        </w:rPr>
      </w:pPr>
      <w:bookmarkStart w:id="69" w:name="muac-screening-during-last-mnchw"/>
      <w:bookmarkEnd w:id="68"/>
      <w:r w:rsidRPr="005871E7">
        <w:rPr>
          <w:rFonts w:ascii="Garamond" w:hAnsi="Garamond"/>
        </w:rPr>
        <w:lastRenderedPageBreak/>
        <w:t>MUAC Screening During Last MNCHW</w:t>
      </w:r>
    </w:p>
    <w:p w14:paraId="54B332A3" w14:textId="77777777" w:rsidR="00AC4E03" w:rsidRPr="005871E7" w:rsidRDefault="00000000" w:rsidP="005871E7">
      <w:pPr>
        <w:pStyle w:val="FirstParagraph"/>
        <w:spacing w:line="360" w:lineRule="auto"/>
        <w:jc w:val="both"/>
        <w:rPr>
          <w:rFonts w:ascii="Garamond" w:hAnsi="Garamond"/>
        </w:rPr>
      </w:pPr>
      <w:r w:rsidRPr="005871E7">
        <w:rPr>
          <w:rFonts w:ascii="Garamond" w:hAnsi="Garamond"/>
        </w:rPr>
        <w:t>Most children who received MUAC screening during the last MNCHW did so at health facilities (15.3%, valid percent: 66.7%), while fewer were reached at home by community drug distributors (5.5%, valid percent: 23.9%) or at outreach posts (2.1%, valid percent: 9.2%). Missing data accounted for 77% of the records.</w:t>
      </w:r>
    </w:p>
    <w:tbl>
      <w:tblPr>
        <w:tblStyle w:val="Table"/>
        <w:tblW w:w="5000" w:type="pct"/>
        <w:tblLayout w:type="fixed"/>
        <w:tblLook w:val="0020" w:firstRow="1" w:lastRow="0" w:firstColumn="0" w:lastColumn="0" w:noHBand="0" w:noVBand="0"/>
      </w:tblPr>
      <w:tblGrid>
        <w:gridCol w:w="4911"/>
        <w:gridCol w:w="736"/>
        <w:gridCol w:w="1596"/>
        <w:gridCol w:w="2333"/>
      </w:tblGrid>
      <w:tr w:rsidR="00AC4E03" w:rsidRPr="005871E7" w14:paraId="72550459" w14:textId="77777777" w:rsidTr="00AC4E03">
        <w:trPr>
          <w:cnfStyle w:val="100000000000" w:firstRow="1" w:lastRow="0" w:firstColumn="0" w:lastColumn="0" w:oddVBand="0" w:evenVBand="0" w:oddHBand="0" w:evenHBand="0" w:firstRowFirstColumn="0" w:firstRowLastColumn="0" w:lastRowFirstColumn="0" w:lastRowLastColumn="0"/>
          <w:tblHeader/>
        </w:trPr>
        <w:tc>
          <w:tcPr>
            <w:tcW w:w="4061" w:type="dxa"/>
          </w:tcPr>
          <w:p w14:paraId="79AA672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Place</w:t>
            </w:r>
          </w:p>
        </w:tc>
        <w:tc>
          <w:tcPr>
            <w:tcW w:w="609" w:type="dxa"/>
          </w:tcPr>
          <w:p w14:paraId="194488D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n</w:t>
            </w:r>
          </w:p>
        </w:tc>
        <w:tc>
          <w:tcPr>
            <w:tcW w:w="1320" w:type="dxa"/>
          </w:tcPr>
          <w:p w14:paraId="75420D7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Percent (%)</w:t>
            </w:r>
          </w:p>
        </w:tc>
        <w:tc>
          <w:tcPr>
            <w:tcW w:w="1929" w:type="dxa"/>
          </w:tcPr>
          <w:p w14:paraId="020AC5D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Valid Percent (%)</w:t>
            </w:r>
          </w:p>
        </w:tc>
      </w:tr>
      <w:tr w:rsidR="00AC4E03" w:rsidRPr="005871E7" w14:paraId="2EF8C7DF" w14:textId="77777777">
        <w:tc>
          <w:tcPr>
            <w:tcW w:w="4061" w:type="dxa"/>
          </w:tcPr>
          <w:p w14:paraId="4294C777"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Health facility</w:t>
            </w:r>
          </w:p>
        </w:tc>
        <w:tc>
          <w:tcPr>
            <w:tcW w:w="609" w:type="dxa"/>
          </w:tcPr>
          <w:p w14:paraId="60B4F7D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1,085</w:t>
            </w:r>
          </w:p>
        </w:tc>
        <w:tc>
          <w:tcPr>
            <w:tcW w:w="1320" w:type="dxa"/>
          </w:tcPr>
          <w:p w14:paraId="19941A1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15.3</w:t>
            </w:r>
          </w:p>
        </w:tc>
        <w:tc>
          <w:tcPr>
            <w:tcW w:w="1929" w:type="dxa"/>
          </w:tcPr>
          <w:p w14:paraId="61B9C64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66.7</w:t>
            </w:r>
          </w:p>
        </w:tc>
      </w:tr>
      <w:tr w:rsidR="00AC4E03" w:rsidRPr="005871E7" w14:paraId="363A4BF6" w14:textId="77777777">
        <w:tc>
          <w:tcPr>
            <w:tcW w:w="4061" w:type="dxa"/>
          </w:tcPr>
          <w:p w14:paraId="19187853"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Community drug distributor to house</w:t>
            </w:r>
          </w:p>
        </w:tc>
        <w:tc>
          <w:tcPr>
            <w:tcW w:w="609" w:type="dxa"/>
          </w:tcPr>
          <w:p w14:paraId="5ACCD87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388</w:t>
            </w:r>
          </w:p>
        </w:tc>
        <w:tc>
          <w:tcPr>
            <w:tcW w:w="1320" w:type="dxa"/>
          </w:tcPr>
          <w:p w14:paraId="7F998F5E"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5.5</w:t>
            </w:r>
          </w:p>
        </w:tc>
        <w:tc>
          <w:tcPr>
            <w:tcW w:w="1929" w:type="dxa"/>
          </w:tcPr>
          <w:p w14:paraId="411DFB3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23.9</w:t>
            </w:r>
          </w:p>
        </w:tc>
      </w:tr>
      <w:tr w:rsidR="00AC4E03" w:rsidRPr="005871E7" w14:paraId="23E1046B" w14:textId="77777777">
        <w:tc>
          <w:tcPr>
            <w:tcW w:w="4061" w:type="dxa"/>
          </w:tcPr>
          <w:p w14:paraId="7580E8F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MNCH week outreach post</w:t>
            </w:r>
          </w:p>
        </w:tc>
        <w:tc>
          <w:tcPr>
            <w:tcW w:w="609" w:type="dxa"/>
          </w:tcPr>
          <w:p w14:paraId="6D7557D0"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150</w:t>
            </w:r>
          </w:p>
        </w:tc>
        <w:tc>
          <w:tcPr>
            <w:tcW w:w="1320" w:type="dxa"/>
          </w:tcPr>
          <w:p w14:paraId="49B6C6E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2.1</w:t>
            </w:r>
          </w:p>
        </w:tc>
        <w:tc>
          <w:tcPr>
            <w:tcW w:w="1929" w:type="dxa"/>
          </w:tcPr>
          <w:p w14:paraId="03F9DEB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9.2</w:t>
            </w:r>
          </w:p>
        </w:tc>
      </w:tr>
      <w:tr w:rsidR="00AC4E03" w:rsidRPr="005871E7" w14:paraId="2479117D" w14:textId="77777777">
        <w:tc>
          <w:tcPr>
            <w:tcW w:w="4061" w:type="dxa"/>
          </w:tcPr>
          <w:p w14:paraId="0A7347B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Others</w:t>
            </w:r>
          </w:p>
        </w:tc>
        <w:tc>
          <w:tcPr>
            <w:tcW w:w="609" w:type="dxa"/>
          </w:tcPr>
          <w:p w14:paraId="03936FA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w:t>
            </w:r>
          </w:p>
        </w:tc>
        <w:tc>
          <w:tcPr>
            <w:tcW w:w="1320" w:type="dxa"/>
          </w:tcPr>
          <w:p w14:paraId="4A2F45A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0.0</w:t>
            </w:r>
          </w:p>
        </w:tc>
        <w:tc>
          <w:tcPr>
            <w:tcW w:w="1929" w:type="dxa"/>
          </w:tcPr>
          <w:p w14:paraId="128F749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0.2</w:t>
            </w:r>
          </w:p>
        </w:tc>
      </w:tr>
      <w:tr w:rsidR="00AC4E03" w:rsidRPr="005871E7" w14:paraId="0885FC77" w14:textId="77777777">
        <w:tc>
          <w:tcPr>
            <w:tcW w:w="4061" w:type="dxa"/>
          </w:tcPr>
          <w:p w14:paraId="53A09E3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NA / Missing</w:t>
            </w:r>
          </w:p>
        </w:tc>
        <w:tc>
          <w:tcPr>
            <w:tcW w:w="609" w:type="dxa"/>
          </w:tcPr>
          <w:p w14:paraId="53E24120"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5,447</w:t>
            </w:r>
          </w:p>
        </w:tc>
        <w:tc>
          <w:tcPr>
            <w:tcW w:w="1320" w:type="dxa"/>
          </w:tcPr>
          <w:p w14:paraId="29E95BB7"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77.0</w:t>
            </w:r>
          </w:p>
        </w:tc>
        <w:tc>
          <w:tcPr>
            <w:tcW w:w="1929" w:type="dxa"/>
          </w:tcPr>
          <w:p w14:paraId="7870555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w:t>
            </w:r>
          </w:p>
        </w:tc>
      </w:tr>
    </w:tbl>
    <w:p w14:paraId="17331469" w14:textId="77777777" w:rsidR="00AC4E03" w:rsidRPr="005871E7" w:rsidRDefault="00000000" w:rsidP="005871E7">
      <w:pPr>
        <w:pStyle w:val="Heading4"/>
        <w:spacing w:line="360" w:lineRule="auto"/>
        <w:jc w:val="both"/>
        <w:rPr>
          <w:rFonts w:ascii="Garamond" w:hAnsi="Garamond"/>
        </w:rPr>
      </w:pPr>
      <w:bookmarkStart w:id="70" w:name="routine-immunization-1223-months"/>
      <w:bookmarkEnd w:id="69"/>
      <w:r w:rsidRPr="005871E7">
        <w:rPr>
          <w:rFonts w:ascii="Garamond" w:hAnsi="Garamond"/>
        </w:rPr>
        <w:t>Routine Immunization (12–23 months)</w:t>
      </w:r>
    </w:p>
    <w:p w14:paraId="1DA2B5F2" w14:textId="77777777" w:rsidR="00AC4E03" w:rsidRPr="005871E7" w:rsidRDefault="00000000" w:rsidP="005871E7">
      <w:pPr>
        <w:pStyle w:val="FirstParagraph"/>
        <w:spacing w:line="360" w:lineRule="auto"/>
        <w:jc w:val="both"/>
        <w:rPr>
          <w:rFonts w:ascii="Garamond" w:hAnsi="Garamond"/>
        </w:rPr>
      </w:pPr>
      <w:r w:rsidRPr="005871E7">
        <w:rPr>
          <w:rFonts w:ascii="Garamond" w:hAnsi="Garamond"/>
        </w:rPr>
        <w:t>Routine immunization coverage among children aged 12–23 months was highly variable, with most categories representing small groups of children receiving different combinations of vaccine doses. The most common record indicated that 36.0% of children received only the 17th vaccine dose during the campaign. Notably, 86.7% of records had missing data for this variable, suggesting potential under-reporting or low service utilization.</w:t>
      </w:r>
    </w:p>
    <w:p w14:paraId="062AC86E" w14:textId="77777777" w:rsidR="00AC4E03" w:rsidRPr="005871E7" w:rsidRDefault="00000000" w:rsidP="005871E7">
      <w:pPr>
        <w:pStyle w:val="Heading4"/>
        <w:spacing w:line="360" w:lineRule="auto"/>
        <w:jc w:val="both"/>
        <w:rPr>
          <w:rFonts w:ascii="Garamond" w:hAnsi="Garamond"/>
        </w:rPr>
      </w:pPr>
      <w:bookmarkStart w:id="71" w:name="place-of-service-delivery"/>
      <w:bookmarkEnd w:id="70"/>
      <w:r w:rsidRPr="005871E7">
        <w:rPr>
          <w:rFonts w:ascii="Garamond" w:hAnsi="Garamond"/>
        </w:rPr>
        <w:t>Place of Service Delivery</w:t>
      </w:r>
    </w:p>
    <w:p w14:paraId="3257CA53" w14:textId="77777777" w:rsidR="00AC4E03" w:rsidRPr="005871E7" w:rsidRDefault="00000000" w:rsidP="005871E7">
      <w:pPr>
        <w:pStyle w:val="FirstParagraph"/>
        <w:spacing w:line="360" w:lineRule="auto"/>
        <w:jc w:val="both"/>
        <w:rPr>
          <w:rFonts w:ascii="Garamond" w:hAnsi="Garamond"/>
        </w:rPr>
      </w:pPr>
      <w:r w:rsidRPr="005871E7">
        <w:rPr>
          <w:rFonts w:ascii="Garamond" w:hAnsi="Garamond"/>
        </w:rPr>
        <w:t>When examining the place where children received health services during MNCHW, 13.1% of children attended a health facility, 6.9% received services at home from a community drug distributor, and 3.2% were served at an outreach post. The majority of records (76.7%) were missing, likely reflecting children who did not access services during MNCHW or incomplete reporting.</w:t>
      </w:r>
    </w:p>
    <w:tbl>
      <w:tblPr>
        <w:tblStyle w:val="Table"/>
        <w:tblW w:w="5000" w:type="pct"/>
        <w:tblLayout w:type="fixed"/>
        <w:tblLook w:val="0020" w:firstRow="1" w:lastRow="0" w:firstColumn="0" w:lastColumn="0" w:noHBand="0" w:noVBand="0"/>
      </w:tblPr>
      <w:tblGrid>
        <w:gridCol w:w="4970"/>
        <w:gridCol w:w="727"/>
        <w:gridCol w:w="1576"/>
        <w:gridCol w:w="2303"/>
      </w:tblGrid>
      <w:tr w:rsidR="00AC4E03" w:rsidRPr="005871E7" w14:paraId="37A9BED9" w14:textId="77777777" w:rsidTr="00AC4E03">
        <w:trPr>
          <w:cnfStyle w:val="100000000000" w:firstRow="1" w:lastRow="0" w:firstColumn="0" w:lastColumn="0" w:oddVBand="0" w:evenVBand="0" w:oddHBand="0" w:evenHBand="0" w:firstRowFirstColumn="0" w:firstRowLastColumn="0" w:lastRowFirstColumn="0" w:lastRowLastColumn="0"/>
          <w:tblHeader/>
        </w:trPr>
        <w:tc>
          <w:tcPr>
            <w:tcW w:w="4110" w:type="dxa"/>
          </w:tcPr>
          <w:p w14:paraId="6CF9ABFD"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Place of Service Delivery</w:t>
            </w:r>
          </w:p>
        </w:tc>
        <w:tc>
          <w:tcPr>
            <w:tcW w:w="601" w:type="dxa"/>
          </w:tcPr>
          <w:p w14:paraId="414800F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n</w:t>
            </w:r>
          </w:p>
        </w:tc>
        <w:tc>
          <w:tcPr>
            <w:tcW w:w="1303" w:type="dxa"/>
          </w:tcPr>
          <w:p w14:paraId="02591D7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Percent (%)</w:t>
            </w:r>
          </w:p>
        </w:tc>
        <w:tc>
          <w:tcPr>
            <w:tcW w:w="1904" w:type="dxa"/>
          </w:tcPr>
          <w:p w14:paraId="2FCBC74E"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Valid Percent (%)</w:t>
            </w:r>
          </w:p>
        </w:tc>
      </w:tr>
      <w:tr w:rsidR="00AC4E03" w:rsidRPr="005871E7" w14:paraId="1B949FB3" w14:textId="77777777">
        <w:tc>
          <w:tcPr>
            <w:tcW w:w="4110" w:type="dxa"/>
          </w:tcPr>
          <w:p w14:paraId="060B6E9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At the health facility</w:t>
            </w:r>
          </w:p>
        </w:tc>
        <w:tc>
          <w:tcPr>
            <w:tcW w:w="601" w:type="dxa"/>
          </w:tcPr>
          <w:p w14:paraId="7F9D5B1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927</w:t>
            </w:r>
          </w:p>
        </w:tc>
        <w:tc>
          <w:tcPr>
            <w:tcW w:w="1303" w:type="dxa"/>
          </w:tcPr>
          <w:p w14:paraId="52BC2D7D"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13.1</w:t>
            </w:r>
          </w:p>
        </w:tc>
        <w:tc>
          <w:tcPr>
            <w:tcW w:w="1904" w:type="dxa"/>
          </w:tcPr>
          <w:p w14:paraId="1829EDCD"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56.2</w:t>
            </w:r>
          </w:p>
        </w:tc>
      </w:tr>
      <w:tr w:rsidR="00AC4E03" w:rsidRPr="005871E7" w14:paraId="7E42CB91" w14:textId="77777777">
        <w:tc>
          <w:tcPr>
            <w:tcW w:w="4110" w:type="dxa"/>
          </w:tcPr>
          <w:p w14:paraId="2FBF61C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Community drug distributor to house</w:t>
            </w:r>
          </w:p>
        </w:tc>
        <w:tc>
          <w:tcPr>
            <w:tcW w:w="601" w:type="dxa"/>
          </w:tcPr>
          <w:p w14:paraId="5C1701A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491</w:t>
            </w:r>
          </w:p>
        </w:tc>
        <w:tc>
          <w:tcPr>
            <w:tcW w:w="1303" w:type="dxa"/>
          </w:tcPr>
          <w:p w14:paraId="79A684B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6.9</w:t>
            </w:r>
          </w:p>
        </w:tc>
        <w:tc>
          <w:tcPr>
            <w:tcW w:w="1904" w:type="dxa"/>
          </w:tcPr>
          <w:p w14:paraId="043EF4D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29.8</w:t>
            </w:r>
          </w:p>
        </w:tc>
      </w:tr>
      <w:tr w:rsidR="00AC4E03" w:rsidRPr="005871E7" w14:paraId="7D3C3B19" w14:textId="77777777">
        <w:tc>
          <w:tcPr>
            <w:tcW w:w="4110" w:type="dxa"/>
          </w:tcPr>
          <w:p w14:paraId="63886B1E"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MNCH week outreach post</w:t>
            </w:r>
          </w:p>
        </w:tc>
        <w:tc>
          <w:tcPr>
            <w:tcW w:w="601" w:type="dxa"/>
          </w:tcPr>
          <w:p w14:paraId="0382380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228</w:t>
            </w:r>
          </w:p>
        </w:tc>
        <w:tc>
          <w:tcPr>
            <w:tcW w:w="1303" w:type="dxa"/>
          </w:tcPr>
          <w:p w14:paraId="35AC9ED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3.2</w:t>
            </w:r>
          </w:p>
        </w:tc>
        <w:tc>
          <w:tcPr>
            <w:tcW w:w="1904" w:type="dxa"/>
          </w:tcPr>
          <w:p w14:paraId="3A5580D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13.8</w:t>
            </w:r>
          </w:p>
        </w:tc>
      </w:tr>
      <w:tr w:rsidR="00AC4E03" w:rsidRPr="005871E7" w14:paraId="2A6C31AF" w14:textId="77777777">
        <w:tc>
          <w:tcPr>
            <w:tcW w:w="4110" w:type="dxa"/>
          </w:tcPr>
          <w:p w14:paraId="0AB4387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lastRenderedPageBreak/>
              <w:t>Others</w:t>
            </w:r>
          </w:p>
        </w:tc>
        <w:tc>
          <w:tcPr>
            <w:tcW w:w="601" w:type="dxa"/>
          </w:tcPr>
          <w:p w14:paraId="3EE766AE"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w:t>
            </w:r>
          </w:p>
        </w:tc>
        <w:tc>
          <w:tcPr>
            <w:tcW w:w="1303" w:type="dxa"/>
          </w:tcPr>
          <w:p w14:paraId="4E5AEA3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0.0</w:t>
            </w:r>
          </w:p>
        </w:tc>
        <w:tc>
          <w:tcPr>
            <w:tcW w:w="1904" w:type="dxa"/>
          </w:tcPr>
          <w:p w14:paraId="10D7307F"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0.1</w:t>
            </w:r>
          </w:p>
        </w:tc>
      </w:tr>
      <w:tr w:rsidR="00AC4E03" w:rsidRPr="005871E7" w14:paraId="7D98DB25" w14:textId="77777777">
        <w:tc>
          <w:tcPr>
            <w:tcW w:w="4110" w:type="dxa"/>
          </w:tcPr>
          <w:p w14:paraId="13BACD3C"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NA / Missing</w:t>
            </w:r>
          </w:p>
        </w:tc>
        <w:tc>
          <w:tcPr>
            <w:tcW w:w="601" w:type="dxa"/>
          </w:tcPr>
          <w:p w14:paraId="0060354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5,425</w:t>
            </w:r>
          </w:p>
        </w:tc>
        <w:tc>
          <w:tcPr>
            <w:tcW w:w="1303" w:type="dxa"/>
          </w:tcPr>
          <w:p w14:paraId="05E91E1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76.7</w:t>
            </w:r>
          </w:p>
        </w:tc>
        <w:tc>
          <w:tcPr>
            <w:tcW w:w="1904" w:type="dxa"/>
          </w:tcPr>
          <w:p w14:paraId="5B3439C3"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w:t>
            </w:r>
          </w:p>
        </w:tc>
      </w:tr>
    </w:tbl>
    <w:p w14:paraId="6C1C0450" w14:textId="77777777" w:rsidR="00AC4E03" w:rsidRPr="005871E7" w:rsidRDefault="00000000" w:rsidP="005871E7">
      <w:pPr>
        <w:pStyle w:val="BodyText"/>
        <w:spacing w:line="360" w:lineRule="auto"/>
        <w:jc w:val="both"/>
        <w:rPr>
          <w:rFonts w:ascii="Garamond" w:hAnsi="Garamond"/>
        </w:rPr>
      </w:pPr>
      <w:r w:rsidRPr="005871E7">
        <w:rPr>
          <w:rFonts w:ascii="Garamond" w:hAnsi="Garamond"/>
        </w:rPr>
        <w:t>The findings reveal substantial gaps in the coverage of key child health interventions, with notable levels of missing data for several indicators. Health facilities remain the most common location for the receipt of both deworming and MUAC services, while home-based outreach by community drug distributors and MNCHW outreach posts play important but secondary roles.</w:t>
      </w:r>
    </w:p>
    <w:p w14:paraId="09DE643B" w14:textId="77777777" w:rsidR="00AC4E03" w:rsidRPr="005871E7" w:rsidRDefault="00000000" w:rsidP="005871E7">
      <w:pPr>
        <w:pStyle w:val="BodyText"/>
        <w:spacing w:line="360" w:lineRule="auto"/>
        <w:jc w:val="both"/>
        <w:rPr>
          <w:rFonts w:ascii="Garamond" w:hAnsi="Garamond"/>
        </w:rPr>
      </w:pPr>
      <w:r w:rsidRPr="005871E7">
        <w:rPr>
          <w:rFonts w:ascii="Garamond" w:hAnsi="Garamond"/>
          <w:b/>
          <w:bCs/>
        </w:rPr>
        <w:t>SUmmary table For Children (6–59 months) Indicators</w:t>
      </w:r>
    </w:p>
    <w:tbl>
      <w:tblPr>
        <w:tblStyle w:val="Table"/>
        <w:tblW w:w="5000" w:type="pct"/>
        <w:tblLayout w:type="fixed"/>
        <w:tblLook w:val="0020" w:firstRow="1" w:lastRow="0" w:firstColumn="0" w:lastColumn="0" w:noHBand="0" w:noVBand="0"/>
      </w:tblPr>
      <w:tblGrid>
        <w:gridCol w:w="7615"/>
        <w:gridCol w:w="1038"/>
        <w:gridCol w:w="923"/>
      </w:tblGrid>
      <w:tr w:rsidR="00AC4E03" w:rsidRPr="005871E7" w14:paraId="5AFB1136" w14:textId="77777777" w:rsidTr="00AC4E03">
        <w:trPr>
          <w:cnfStyle w:val="100000000000" w:firstRow="1" w:lastRow="0" w:firstColumn="0" w:lastColumn="0" w:oddVBand="0" w:evenVBand="0" w:oddHBand="0" w:evenHBand="0" w:firstRowFirstColumn="0" w:firstRowLastColumn="0" w:lastRowFirstColumn="0" w:lastRowLastColumn="0"/>
          <w:tblHeader/>
        </w:trPr>
        <w:tc>
          <w:tcPr>
            <w:tcW w:w="6297" w:type="dxa"/>
          </w:tcPr>
          <w:p w14:paraId="33B7E5F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Indicator</w:t>
            </w:r>
          </w:p>
        </w:tc>
        <w:tc>
          <w:tcPr>
            <w:tcW w:w="858" w:type="dxa"/>
          </w:tcPr>
          <w:p w14:paraId="30FD962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Yes (%)</w:t>
            </w:r>
          </w:p>
        </w:tc>
        <w:tc>
          <w:tcPr>
            <w:tcW w:w="763" w:type="dxa"/>
          </w:tcPr>
          <w:p w14:paraId="0B76788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No (%)</w:t>
            </w:r>
          </w:p>
        </w:tc>
      </w:tr>
      <w:tr w:rsidR="00AC4E03" w:rsidRPr="005871E7" w14:paraId="2B10DC4B" w14:textId="77777777">
        <w:tc>
          <w:tcPr>
            <w:tcW w:w="6297" w:type="dxa"/>
          </w:tcPr>
          <w:p w14:paraId="6CD01E9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Receipt of VAS (in last 6 months)</w:t>
            </w:r>
          </w:p>
        </w:tc>
        <w:tc>
          <w:tcPr>
            <w:tcW w:w="858" w:type="dxa"/>
          </w:tcPr>
          <w:p w14:paraId="0732FFEC"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39.8</w:t>
            </w:r>
          </w:p>
        </w:tc>
        <w:tc>
          <w:tcPr>
            <w:tcW w:w="763" w:type="dxa"/>
          </w:tcPr>
          <w:p w14:paraId="4A90AB8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60.2</w:t>
            </w:r>
          </w:p>
        </w:tc>
      </w:tr>
      <w:tr w:rsidR="00AC4E03" w:rsidRPr="005871E7" w14:paraId="0E0821DA" w14:textId="77777777">
        <w:tc>
          <w:tcPr>
            <w:tcW w:w="6297" w:type="dxa"/>
          </w:tcPr>
          <w:p w14:paraId="40DFEDF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Receipt of SMC (Cycle 1)</w:t>
            </w:r>
          </w:p>
        </w:tc>
        <w:tc>
          <w:tcPr>
            <w:tcW w:w="858" w:type="dxa"/>
          </w:tcPr>
          <w:p w14:paraId="69B8992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61.3</w:t>
            </w:r>
          </w:p>
        </w:tc>
        <w:tc>
          <w:tcPr>
            <w:tcW w:w="763" w:type="dxa"/>
          </w:tcPr>
          <w:p w14:paraId="69D791F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38.7</w:t>
            </w:r>
          </w:p>
        </w:tc>
      </w:tr>
      <w:tr w:rsidR="00AC4E03" w:rsidRPr="005871E7" w14:paraId="2EFFBBE6" w14:textId="77777777">
        <w:tc>
          <w:tcPr>
            <w:tcW w:w="6297" w:type="dxa"/>
          </w:tcPr>
          <w:p w14:paraId="69076F9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Receipt of any SMC (any cycle)</w:t>
            </w:r>
          </w:p>
        </w:tc>
        <w:tc>
          <w:tcPr>
            <w:tcW w:w="858" w:type="dxa"/>
          </w:tcPr>
          <w:p w14:paraId="5D5144C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w:t>
            </w:r>
          </w:p>
        </w:tc>
        <w:tc>
          <w:tcPr>
            <w:tcW w:w="763" w:type="dxa"/>
          </w:tcPr>
          <w:p w14:paraId="11C789D7"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w:t>
            </w:r>
          </w:p>
        </w:tc>
      </w:tr>
      <w:tr w:rsidR="00AC4E03" w:rsidRPr="005871E7" w14:paraId="1D1E7410" w14:textId="77777777">
        <w:tc>
          <w:tcPr>
            <w:tcW w:w="6297" w:type="dxa"/>
          </w:tcPr>
          <w:p w14:paraId="23D82246"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Received deworming tablet (last MNCHW, any source)</w:t>
            </w:r>
          </w:p>
        </w:tc>
        <w:tc>
          <w:tcPr>
            <w:tcW w:w="858" w:type="dxa"/>
          </w:tcPr>
          <w:p w14:paraId="35A7A85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32.0</w:t>
            </w:r>
          </w:p>
        </w:tc>
        <w:tc>
          <w:tcPr>
            <w:tcW w:w="763" w:type="dxa"/>
          </w:tcPr>
          <w:p w14:paraId="7BF26520"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68.0</w:t>
            </w:r>
          </w:p>
        </w:tc>
      </w:tr>
      <w:tr w:rsidR="00AC4E03" w:rsidRPr="005871E7" w14:paraId="0E07B603" w14:textId="77777777">
        <w:tc>
          <w:tcPr>
            <w:tcW w:w="6297" w:type="dxa"/>
          </w:tcPr>
          <w:p w14:paraId="345751F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Received MUAC screening (last MNCHW, any source)</w:t>
            </w:r>
          </w:p>
        </w:tc>
        <w:tc>
          <w:tcPr>
            <w:tcW w:w="858" w:type="dxa"/>
          </w:tcPr>
          <w:p w14:paraId="14F06DDD"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23.9</w:t>
            </w:r>
          </w:p>
        </w:tc>
        <w:tc>
          <w:tcPr>
            <w:tcW w:w="763" w:type="dxa"/>
          </w:tcPr>
          <w:p w14:paraId="66B377CC"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76.1</w:t>
            </w:r>
          </w:p>
        </w:tc>
      </w:tr>
      <w:tr w:rsidR="00AC4E03" w:rsidRPr="005871E7" w14:paraId="7CE87940" w14:textId="77777777">
        <w:tc>
          <w:tcPr>
            <w:tcW w:w="6297" w:type="dxa"/>
          </w:tcPr>
          <w:p w14:paraId="58DE4FF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Received routine immunization (12–23 months)</w:t>
            </w:r>
          </w:p>
        </w:tc>
        <w:tc>
          <w:tcPr>
            <w:tcW w:w="858" w:type="dxa"/>
          </w:tcPr>
          <w:p w14:paraId="63AE2CB0"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w:t>
            </w:r>
          </w:p>
        </w:tc>
        <w:tc>
          <w:tcPr>
            <w:tcW w:w="763" w:type="dxa"/>
          </w:tcPr>
          <w:p w14:paraId="2BF54F1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w:t>
            </w:r>
          </w:p>
        </w:tc>
      </w:tr>
      <w:tr w:rsidR="00AC4E03" w:rsidRPr="005871E7" w14:paraId="3C6C8260" w14:textId="77777777">
        <w:tc>
          <w:tcPr>
            <w:tcW w:w="6297" w:type="dxa"/>
          </w:tcPr>
          <w:p w14:paraId="7D80802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Place of service delivery (home/health facility/outreach/other)</w:t>
            </w:r>
          </w:p>
        </w:tc>
        <w:tc>
          <w:tcPr>
            <w:tcW w:w="858" w:type="dxa"/>
          </w:tcPr>
          <w:p w14:paraId="45C1A51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22.6</w:t>
            </w:r>
          </w:p>
        </w:tc>
        <w:tc>
          <w:tcPr>
            <w:tcW w:w="763" w:type="dxa"/>
          </w:tcPr>
          <w:p w14:paraId="30E781D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77.04</w:t>
            </w:r>
          </w:p>
        </w:tc>
      </w:tr>
    </w:tbl>
    <w:p w14:paraId="29D266FB" w14:textId="77777777" w:rsidR="00AC4E03" w:rsidRPr="005871E7" w:rsidRDefault="00000000" w:rsidP="005871E7">
      <w:pPr>
        <w:pStyle w:val="Heading2"/>
        <w:spacing w:line="360" w:lineRule="auto"/>
        <w:jc w:val="both"/>
        <w:rPr>
          <w:rFonts w:ascii="Garamond" w:hAnsi="Garamond"/>
        </w:rPr>
      </w:pPr>
      <w:bookmarkStart w:id="72" w:name="X444eb950c1dd7ebd7f50f1750501cfd1c8de46d"/>
      <w:bookmarkStart w:id="73" w:name="_Toc201569014"/>
      <w:bookmarkEnd w:id="63"/>
      <w:bookmarkEnd w:id="65"/>
      <w:bookmarkEnd w:id="71"/>
      <w:r w:rsidRPr="005871E7">
        <w:rPr>
          <w:rFonts w:ascii="Garamond" w:hAnsi="Garamond"/>
        </w:rPr>
        <w:t>Women of Childbearing Age (15–49 years) Indicator analysis</w:t>
      </w:r>
      <w:bookmarkEnd w:id="73"/>
    </w:p>
    <w:p w14:paraId="07C57751" w14:textId="77777777" w:rsidR="00AC4E03" w:rsidRPr="005871E7" w:rsidRDefault="00000000" w:rsidP="005871E7">
      <w:pPr>
        <w:pStyle w:val="Heading3"/>
        <w:spacing w:line="360" w:lineRule="auto"/>
        <w:jc w:val="both"/>
        <w:rPr>
          <w:rFonts w:ascii="Garamond" w:hAnsi="Garamond"/>
        </w:rPr>
      </w:pPr>
      <w:bookmarkStart w:id="74" w:name="Xad016b9425543969b3554c800aae17f6785a5c2"/>
      <w:r w:rsidRPr="005871E7">
        <w:rPr>
          <w:rFonts w:ascii="Garamond" w:hAnsi="Garamond"/>
        </w:rPr>
        <w:t>Coverage of Key Maternal Health Interventions Among Women of Childbearing Age (15–49 years)</w:t>
      </w:r>
    </w:p>
    <w:p w14:paraId="3D7F0085" w14:textId="77777777" w:rsidR="00AC4E03" w:rsidRPr="005871E7" w:rsidRDefault="00000000" w:rsidP="005871E7">
      <w:pPr>
        <w:pStyle w:val="Heading4"/>
        <w:spacing w:line="360" w:lineRule="auto"/>
        <w:jc w:val="both"/>
        <w:rPr>
          <w:rFonts w:ascii="Garamond" w:hAnsi="Garamond"/>
        </w:rPr>
      </w:pPr>
      <w:bookmarkStart w:id="75" w:name="iron-and-folic-acid-supplementation-ifas"/>
      <w:r w:rsidRPr="005871E7">
        <w:rPr>
          <w:rFonts w:ascii="Garamond" w:hAnsi="Garamond"/>
        </w:rPr>
        <w:t>Iron and Folic Acid Supplementation (IFAS)</w:t>
      </w:r>
    </w:p>
    <w:p w14:paraId="4C43BA98" w14:textId="77777777" w:rsidR="00AC4E03" w:rsidRPr="005871E7" w:rsidRDefault="00000000" w:rsidP="005871E7">
      <w:pPr>
        <w:pStyle w:val="FirstParagraph"/>
        <w:spacing w:line="360" w:lineRule="auto"/>
        <w:jc w:val="both"/>
        <w:rPr>
          <w:rFonts w:ascii="Garamond" w:hAnsi="Garamond"/>
        </w:rPr>
      </w:pPr>
      <w:r w:rsidRPr="005871E7">
        <w:rPr>
          <w:rFonts w:ascii="Garamond" w:hAnsi="Garamond"/>
        </w:rPr>
        <w:t>Among women of childbearing age, only 7.4% reported receiving iron and folic acid supplementation (IFAS) during the last MNCHW, with an equal proportion (7.4%) reporting that they did not receive IFAS. However, a large proportion of respondents (85.2%) had missing or unreported data for this question. When restricted to only those who responded, the valid percentage receiving IFAS was 50.1%.</w:t>
      </w:r>
    </w:p>
    <w:tbl>
      <w:tblPr>
        <w:tblStyle w:val="Table"/>
        <w:tblW w:w="0" w:type="auto"/>
        <w:tblLook w:val="0020" w:firstRow="1" w:lastRow="0" w:firstColumn="0" w:lastColumn="0" w:noHBand="0" w:noVBand="0"/>
      </w:tblPr>
      <w:tblGrid>
        <w:gridCol w:w="3284"/>
        <w:gridCol w:w="666"/>
        <w:gridCol w:w="1321"/>
        <w:gridCol w:w="1871"/>
      </w:tblGrid>
      <w:tr w:rsidR="00AC4E03" w:rsidRPr="005871E7" w14:paraId="41FC53F8" w14:textId="77777777" w:rsidTr="00AC4E03">
        <w:trPr>
          <w:cnfStyle w:val="100000000000" w:firstRow="1" w:lastRow="0" w:firstColumn="0" w:lastColumn="0" w:oddVBand="0" w:evenVBand="0" w:oddHBand="0" w:evenHBand="0" w:firstRowFirstColumn="0" w:firstRowLastColumn="0" w:lastRowFirstColumn="0" w:lastRowLastColumn="0"/>
          <w:tblHeader/>
        </w:trPr>
        <w:tc>
          <w:tcPr>
            <w:tcW w:w="0" w:type="auto"/>
          </w:tcPr>
          <w:p w14:paraId="5D5A2F9C"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lastRenderedPageBreak/>
              <w:t>IFAS Received at Last MNCHW</w:t>
            </w:r>
          </w:p>
        </w:tc>
        <w:tc>
          <w:tcPr>
            <w:tcW w:w="0" w:type="auto"/>
          </w:tcPr>
          <w:p w14:paraId="67E15E1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n</w:t>
            </w:r>
          </w:p>
        </w:tc>
        <w:tc>
          <w:tcPr>
            <w:tcW w:w="0" w:type="auto"/>
          </w:tcPr>
          <w:p w14:paraId="4BE2AFAE"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Percent (%)</w:t>
            </w:r>
          </w:p>
        </w:tc>
        <w:tc>
          <w:tcPr>
            <w:tcW w:w="0" w:type="auto"/>
          </w:tcPr>
          <w:p w14:paraId="527A899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Valid Percent (%)</w:t>
            </w:r>
          </w:p>
        </w:tc>
      </w:tr>
      <w:tr w:rsidR="00AC4E03" w:rsidRPr="005871E7" w14:paraId="33E62CE0" w14:textId="77777777">
        <w:tc>
          <w:tcPr>
            <w:tcW w:w="0" w:type="auto"/>
          </w:tcPr>
          <w:p w14:paraId="082E3833"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No</w:t>
            </w:r>
          </w:p>
        </w:tc>
        <w:tc>
          <w:tcPr>
            <w:tcW w:w="0" w:type="auto"/>
          </w:tcPr>
          <w:p w14:paraId="702EAD9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596</w:t>
            </w:r>
          </w:p>
        </w:tc>
        <w:tc>
          <w:tcPr>
            <w:tcW w:w="0" w:type="auto"/>
          </w:tcPr>
          <w:p w14:paraId="49C6EC2C"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7.4</w:t>
            </w:r>
          </w:p>
        </w:tc>
        <w:tc>
          <w:tcPr>
            <w:tcW w:w="0" w:type="auto"/>
          </w:tcPr>
          <w:p w14:paraId="6F5F3E4E"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49.9</w:t>
            </w:r>
          </w:p>
        </w:tc>
      </w:tr>
      <w:tr w:rsidR="00AC4E03" w:rsidRPr="005871E7" w14:paraId="270FC292" w14:textId="77777777">
        <w:tc>
          <w:tcPr>
            <w:tcW w:w="0" w:type="auto"/>
          </w:tcPr>
          <w:p w14:paraId="20544EA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Yes</w:t>
            </w:r>
          </w:p>
        </w:tc>
        <w:tc>
          <w:tcPr>
            <w:tcW w:w="0" w:type="auto"/>
          </w:tcPr>
          <w:p w14:paraId="5D59A51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598</w:t>
            </w:r>
          </w:p>
        </w:tc>
        <w:tc>
          <w:tcPr>
            <w:tcW w:w="0" w:type="auto"/>
          </w:tcPr>
          <w:p w14:paraId="531E85E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7.4</w:t>
            </w:r>
          </w:p>
        </w:tc>
        <w:tc>
          <w:tcPr>
            <w:tcW w:w="0" w:type="auto"/>
          </w:tcPr>
          <w:p w14:paraId="5504752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50.1</w:t>
            </w:r>
          </w:p>
        </w:tc>
      </w:tr>
      <w:tr w:rsidR="00AC4E03" w:rsidRPr="005871E7" w14:paraId="3A9C6699" w14:textId="77777777">
        <w:tc>
          <w:tcPr>
            <w:tcW w:w="0" w:type="auto"/>
          </w:tcPr>
          <w:p w14:paraId="22A82D9D"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Missing/NA</w:t>
            </w:r>
          </w:p>
        </w:tc>
        <w:tc>
          <w:tcPr>
            <w:tcW w:w="0" w:type="auto"/>
          </w:tcPr>
          <w:p w14:paraId="28EA99F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6847</w:t>
            </w:r>
          </w:p>
        </w:tc>
        <w:tc>
          <w:tcPr>
            <w:tcW w:w="0" w:type="auto"/>
          </w:tcPr>
          <w:p w14:paraId="4B210F2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85.2</w:t>
            </w:r>
          </w:p>
        </w:tc>
        <w:tc>
          <w:tcPr>
            <w:tcW w:w="0" w:type="auto"/>
          </w:tcPr>
          <w:p w14:paraId="4E4EA853"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w:t>
            </w:r>
          </w:p>
        </w:tc>
      </w:tr>
    </w:tbl>
    <w:p w14:paraId="1D18CB62" w14:textId="77777777" w:rsidR="00AC4E03" w:rsidRPr="005871E7" w:rsidRDefault="00000000" w:rsidP="005871E7">
      <w:pPr>
        <w:pStyle w:val="Heading4"/>
        <w:spacing w:line="360" w:lineRule="auto"/>
        <w:jc w:val="both"/>
        <w:rPr>
          <w:rFonts w:ascii="Garamond" w:hAnsi="Garamond"/>
        </w:rPr>
      </w:pPr>
      <w:bookmarkStart w:id="76" w:name="tetanus-toxoid-tt-receipt"/>
      <w:bookmarkEnd w:id="75"/>
      <w:r w:rsidRPr="005871E7">
        <w:rPr>
          <w:rFonts w:ascii="Garamond" w:hAnsi="Garamond"/>
        </w:rPr>
        <w:t>Tetanus Toxoid (TT) Receipt</w:t>
      </w:r>
    </w:p>
    <w:p w14:paraId="5B3F333C" w14:textId="77777777" w:rsidR="00AC4E03" w:rsidRPr="005871E7" w:rsidRDefault="00000000" w:rsidP="005871E7">
      <w:pPr>
        <w:pStyle w:val="FirstParagraph"/>
        <w:spacing w:line="360" w:lineRule="auto"/>
        <w:jc w:val="both"/>
        <w:rPr>
          <w:rFonts w:ascii="Garamond" w:hAnsi="Garamond"/>
        </w:rPr>
      </w:pPr>
      <w:r w:rsidRPr="005871E7">
        <w:rPr>
          <w:rFonts w:ascii="Garamond" w:hAnsi="Garamond"/>
        </w:rPr>
        <w:t>A total of 36.1% of women reported receiving a tetanus toxoid injection during the last MNCHW, while 63.9% did not.</w:t>
      </w:r>
    </w:p>
    <w:tbl>
      <w:tblPr>
        <w:tblStyle w:val="Table"/>
        <w:tblW w:w="0" w:type="auto"/>
        <w:tblLook w:val="0020" w:firstRow="1" w:lastRow="0" w:firstColumn="0" w:lastColumn="0" w:noHBand="0" w:noVBand="0"/>
      </w:tblPr>
      <w:tblGrid>
        <w:gridCol w:w="3081"/>
        <w:gridCol w:w="666"/>
        <w:gridCol w:w="1321"/>
      </w:tblGrid>
      <w:tr w:rsidR="00AC4E03" w:rsidRPr="005871E7" w14:paraId="1FF5D487" w14:textId="77777777" w:rsidTr="00AC4E03">
        <w:trPr>
          <w:cnfStyle w:val="100000000000" w:firstRow="1" w:lastRow="0" w:firstColumn="0" w:lastColumn="0" w:oddVBand="0" w:evenVBand="0" w:oddHBand="0" w:evenHBand="0" w:firstRowFirstColumn="0" w:firstRowLastColumn="0" w:lastRowFirstColumn="0" w:lastRowLastColumn="0"/>
          <w:tblHeader/>
        </w:trPr>
        <w:tc>
          <w:tcPr>
            <w:tcW w:w="0" w:type="auto"/>
          </w:tcPr>
          <w:p w14:paraId="229D6D53"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TT Received at Last MNCHW</w:t>
            </w:r>
          </w:p>
        </w:tc>
        <w:tc>
          <w:tcPr>
            <w:tcW w:w="0" w:type="auto"/>
          </w:tcPr>
          <w:p w14:paraId="0C77CB8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n</w:t>
            </w:r>
          </w:p>
        </w:tc>
        <w:tc>
          <w:tcPr>
            <w:tcW w:w="0" w:type="auto"/>
          </w:tcPr>
          <w:p w14:paraId="6AC8446C"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Percent (%)</w:t>
            </w:r>
          </w:p>
        </w:tc>
      </w:tr>
      <w:tr w:rsidR="00AC4E03" w:rsidRPr="005871E7" w14:paraId="258DA2B5" w14:textId="77777777">
        <w:tc>
          <w:tcPr>
            <w:tcW w:w="0" w:type="auto"/>
          </w:tcPr>
          <w:p w14:paraId="34E70B1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No</w:t>
            </w:r>
          </w:p>
        </w:tc>
        <w:tc>
          <w:tcPr>
            <w:tcW w:w="0" w:type="auto"/>
          </w:tcPr>
          <w:p w14:paraId="1EA17F9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5139</w:t>
            </w:r>
          </w:p>
        </w:tc>
        <w:tc>
          <w:tcPr>
            <w:tcW w:w="0" w:type="auto"/>
          </w:tcPr>
          <w:p w14:paraId="34A7D470"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63.9</w:t>
            </w:r>
          </w:p>
        </w:tc>
      </w:tr>
      <w:tr w:rsidR="00AC4E03" w:rsidRPr="005871E7" w14:paraId="314EAC18" w14:textId="77777777">
        <w:tc>
          <w:tcPr>
            <w:tcW w:w="0" w:type="auto"/>
          </w:tcPr>
          <w:p w14:paraId="45A7C14F"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Yes</w:t>
            </w:r>
          </w:p>
        </w:tc>
        <w:tc>
          <w:tcPr>
            <w:tcW w:w="0" w:type="auto"/>
          </w:tcPr>
          <w:p w14:paraId="4FAFDF7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2902</w:t>
            </w:r>
          </w:p>
        </w:tc>
        <w:tc>
          <w:tcPr>
            <w:tcW w:w="0" w:type="auto"/>
          </w:tcPr>
          <w:p w14:paraId="291BF9E6"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36.1</w:t>
            </w:r>
          </w:p>
        </w:tc>
      </w:tr>
    </w:tbl>
    <w:p w14:paraId="322CEFC2" w14:textId="77777777" w:rsidR="00AC4E03" w:rsidRPr="005871E7" w:rsidRDefault="00000000" w:rsidP="005871E7">
      <w:pPr>
        <w:pStyle w:val="Heading4"/>
        <w:spacing w:line="360" w:lineRule="auto"/>
        <w:jc w:val="both"/>
        <w:rPr>
          <w:rFonts w:ascii="Garamond" w:hAnsi="Garamond"/>
        </w:rPr>
      </w:pPr>
      <w:bookmarkStart w:id="77" w:name="X81a1ae3f56a4d9da6997a543ceadcf6feacb9c8"/>
      <w:bookmarkEnd w:id="76"/>
      <w:r w:rsidRPr="005871E7">
        <w:rPr>
          <w:rFonts w:ascii="Garamond" w:hAnsi="Garamond"/>
        </w:rPr>
        <w:t>Antenatal and Postnatal Care (ANC/PNC) Services</w:t>
      </w:r>
    </w:p>
    <w:p w14:paraId="00F6B38E" w14:textId="77777777" w:rsidR="00AC4E03" w:rsidRPr="005871E7" w:rsidRDefault="00000000" w:rsidP="005871E7">
      <w:pPr>
        <w:pStyle w:val="FirstParagraph"/>
        <w:spacing w:line="360" w:lineRule="auto"/>
        <w:jc w:val="both"/>
        <w:rPr>
          <w:rFonts w:ascii="Garamond" w:hAnsi="Garamond"/>
        </w:rPr>
      </w:pPr>
      <w:r w:rsidRPr="005871E7">
        <w:rPr>
          <w:rFonts w:ascii="Garamond" w:hAnsi="Garamond"/>
        </w:rPr>
        <w:t>Regarding ANC services, 13.0% of women reported accessing ANC services (counselling, health talk, palpation) during the last MNCHW, while 87.0% did not. However, a large share (65.2%) did not answer this question. For PNC, only 4.3% of valid responses indicated receipt of postnatal care, and 95.7% indicated they did not; again, a majority of cases (65.2%) were missing or unreported.</w:t>
      </w:r>
    </w:p>
    <w:tbl>
      <w:tblPr>
        <w:tblStyle w:val="Table"/>
        <w:tblW w:w="0" w:type="auto"/>
        <w:tblLook w:val="0020" w:firstRow="1" w:lastRow="0" w:firstColumn="0" w:lastColumn="0" w:noHBand="0" w:noVBand="0"/>
      </w:tblPr>
      <w:tblGrid>
        <w:gridCol w:w="3199"/>
        <w:gridCol w:w="666"/>
        <w:gridCol w:w="1321"/>
        <w:gridCol w:w="1871"/>
      </w:tblGrid>
      <w:tr w:rsidR="00AC4E03" w:rsidRPr="005871E7" w14:paraId="48DE54B4" w14:textId="77777777" w:rsidTr="00AC4E03">
        <w:trPr>
          <w:cnfStyle w:val="100000000000" w:firstRow="1" w:lastRow="0" w:firstColumn="0" w:lastColumn="0" w:oddVBand="0" w:evenVBand="0" w:oddHBand="0" w:evenHBand="0" w:firstRowFirstColumn="0" w:firstRowLastColumn="0" w:lastRowFirstColumn="0" w:lastRowLastColumn="0"/>
          <w:tblHeader/>
        </w:trPr>
        <w:tc>
          <w:tcPr>
            <w:tcW w:w="0" w:type="auto"/>
          </w:tcPr>
          <w:p w14:paraId="13530C6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ANC Services at Last MNCHW</w:t>
            </w:r>
          </w:p>
        </w:tc>
        <w:tc>
          <w:tcPr>
            <w:tcW w:w="0" w:type="auto"/>
          </w:tcPr>
          <w:p w14:paraId="740F9FA3"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n</w:t>
            </w:r>
          </w:p>
        </w:tc>
        <w:tc>
          <w:tcPr>
            <w:tcW w:w="0" w:type="auto"/>
          </w:tcPr>
          <w:p w14:paraId="166C1BD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Percent (%)</w:t>
            </w:r>
          </w:p>
        </w:tc>
        <w:tc>
          <w:tcPr>
            <w:tcW w:w="0" w:type="auto"/>
          </w:tcPr>
          <w:p w14:paraId="4C753E2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Valid Percent (%)</w:t>
            </w:r>
          </w:p>
        </w:tc>
      </w:tr>
      <w:tr w:rsidR="00AC4E03" w:rsidRPr="005871E7" w14:paraId="68916005" w14:textId="77777777">
        <w:tc>
          <w:tcPr>
            <w:tcW w:w="0" w:type="auto"/>
          </w:tcPr>
          <w:p w14:paraId="146464DF"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No</w:t>
            </w:r>
          </w:p>
        </w:tc>
        <w:tc>
          <w:tcPr>
            <w:tcW w:w="0" w:type="auto"/>
          </w:tcPr>
          <w:p w14:paraId="6A7E6C9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2437</w:t>
            </w:r>
          </w:p>
        </w:tc>
        <w:tc>
          <w:tcPr>
            <w:tcW w:w="0" w:type="auto"/>
          </w:tcPr>
          <w:p w14:paraId="0F17E14D"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30.3</w:t>
            </w:r>
          </w:p>
        </w:tc>
        <w:tc>
          <w:tcPr>
            <w:tcW w:w="0" w:type="auto"/>
          </w:tcPr>
          <w:p w14:paraId="222B0CA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87.0</w:t>
            </w:r>
          </w:p>
        </w:tc>
      </w:tr>
      <w:tr w:rsidR="00AC4E03" w:rsidRPr="005871E7" w14:paraId="03F45303" w14:textId="77777777">
        <w:tc>
          <w:tcPr>
            <w:tcW w:w="0" w:type="auto"/>
          </w:tcPr>
          <w:p w14:paraId="2C1D9B9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Yes</w:t>
            </w:r>
          </w:p>
        </w:tc>
        <w:tc>
          <w:tcPr>
            <w:tcW w:w="0" w:type="auto"/>
          </w:tcPr>
          <w:p w14:paraId="06E7191F"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365</w:t>
            </w:r>
          </w:p>
        </w:tc>
        <w:tc>
          <w:tcPr>
            <w:tcW w:w="0" w:type="auto"/>
          </w:tcPr>
          <w:p w14:paraId="6ABB7A40"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4.5</w:t>
            </w:r>
          </w:p>
        </w:tc>
        <w:tc>
          <w:tcPr>
            <w:tcW w:w="0" w:type="auto"/>
          </w:tcPr>
          <w:p w14:paraId="354DC7BC"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13.0</w:t>
            </w:r>
          </w:p>
        </w:tc>
      </w:tr>
      <w:tr w:rsidR="00AC4E03" w:rsidRPr="005871E7" w14:paraId="0CE74F12" w14:textId="77777777">
        <w:tc>
          <w:tcPr>
            <w:tcW w:w="0" w:type="auto"/>
          </w:tcPr>
          <w:p w14:paraId="4F215A27"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Missing/NA</w:t>
            </w:r>
          </w:p>
        </w:tc>
        <w:tc>
          <w:tcPr>
            <w:tcW w:w="0" w:type="auto"/>
          </w:tcPr>
          <w:p w14:paraId="4D8C6F9F"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5239</w:t>
            </w:r>
          </w:p>
        </w:tc>
        <w:tc>
          <w:tcPr>
            <w:tcW w:w="0" w:type="auto"/>
          </w:tcPr>
          <w:p w14:paraId="1FA2FE5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65.2</w:t>
            </w:r>
          </w:p>
        </w:tc>
        <w:tc>
          <w:tcPr>
            <w:tcW w:w="0" w:type="auto"/>
          </w:tcPr>
          <w:p w14:paraId="4B04A97F"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w:t>
            </w:r>
          </w:p>
        </w:tc>
      </w:tr>
    </w:tbl>
    <w:p w14:paraId="20D12887" w14:textId="77777777" w:rsidR="00AC4E03" w:rsidRPr="005871E7" w:rsidRDefault="00AC4E03" w:rsidP="005871E7">
      <w:pPr>
        <w:spacing w:line="360" w:lineRule="auto"/>
        <w:jc w:val="both"/>
        <w:rPr>
          <w:rFonts w:ascii="Garamond" w:hAnsi="Garamond"/>
        </w:rPr>
      </w:pPr>
    </w:p>
    <w:tbl>
      <w:tblPr>
        <w:tblStyle w:val="Table"/>
        <w:tblW w:w="0" w:type="auto"/>
        <w:tblLook w:val="0020" w:firstRow="1" w:lastRow="0" w:firstColumn="0" w:lastColumn="0" w:noHBand="0" w:noVBand="0"/>
      </w:tblPr>
      <w:tblGrid>
        <w:gridCol w:w="3171"/>
        <w:gridCol w:w="666"/>
        <w:gridCol w:w="1321"/>
        <w:gridCol w:w="1871"/>
      </w:tblGrid>
      <w:tr w:rsidR="00AC4E03" w:rsidRPr="005871E7" w14:paraId="5CB72757" w14:textId="77777777" w:rsidTr="00AC4E03">
        <w:trPr>
          <w:cnfStyle w:val="100000000000" w:firstRow="1" w:lastRow="0" w:firstColumn="0" w:lastColumn="0" w:oddVBand="0" w:evenVBand="0" w:oddHBand="0" w:evenHBand="0" w:firstRowFirstColumn="0" w:firstRowLastColumn="0" w:lastRowFirstColumn="0" w:lastRowLastColumn="0"/>
          <w:tblHeader/>
        </w:trPr>
        <w:tc>
          <w:tcPr>
            <w:tcW w:w="0" w:type="auto"/>
          </w:tcPr>
          <w:p w14:paraId="130C855C"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PNC Services at Last MNCHW</w:t>
            </w:r>
          </w:p>
        </w:tc>
        <w:tc>
          <w:tcPr>
            <w:tcW w:w="0" w:type="auto"/>
          </w:tcPr>
          <w:p w14:paraId="6264C46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n</w:t>
            </w:r>
          </w:p>
        </w:tc>
        <w:tc>
          <w:tcPr>
            <w:tcW w:w="0" w:type="auto"/>
          </w:tcPr>
          <w:p w14:paraId="4ECEB2A6"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Percent (%)</w:t>
            </w:r>
          </w:p>
        </w:tc>
        <w:tc>
          <w:tcPr>
            <w:tcW w:w="0" w:type="auto"/>
          </w:tcPr>
          <w:p w14:paraId="6AA87C5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Valid Percent (%)</w:t>
            </w:r>
          </w:p>
        </w:tc>
      </w:tr>
      <w:tr w:rsidR="00AC4E03" w:rsidRPr="005871E7" w14:paraId="2450BBA4" w14:textId="77777777">
        <w:tc>
          <w:tcPr>
            <w:tcW w:w="0" w:type="auto"/>
          </w:tcPr>
          <w:p w14:paraId="796D199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No</w:t>
            </w:r>
          </w:p>
        </w:tc>
        <w:tc>
          <w:tcPr>
            <w:tcW w:w="0" w:type="auto"/>
          </w:tcPr>
          <w:p w14:paraId="697C49D0"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2681</w:t>
            </w:r>
          </w:p>
        </w:tc>
        <w:tc>
          <w:tcPr>
            <w:tcW w:w="0" w:type="auto"/>
          </w:tcPr>
          <w:p w14:paraId="6028B02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33.3</w:t>
            </w:r>
          </w:p>
        </w:tc>
        <w:tc>
          <w:tcPr>
            <w:tcW w:w="0" w:type="auto"/>
          </w:tcPr>
          <w:p w14:paraId="13FB21E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95.7</w:t>
            </w:r>
          </w:p>
        </w:tc>
      </w:tr>
      <w:tr w:rsidR="00AC4E03" w:rsidRPr="005871E7" w14:paraId="3955C22D" w14:textId="77777777">
        <w:tc>
          <w:tcPr>
            <w:tcW w:w="0" w:type="auto"/>
          </w:tcPr>
          <w:p w14:paraId="483B4DCE"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Yes</w:t>
            </w:r>
          </w:p>
        </w:tc>
        <w:tc>
          <w:tcPr>
            <w:tcW w:w="0" w:type="auto"/>
          </w:tcPr>
          <w:p w14:paraId="2624BFC3"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121</w:t>
            </w:r>
          </w:p>
        </w:tc>
        <w:tc>
          <w:tcPr>
            <w:tcW w:w="0" w:type="auto"/>
          </w:tcPr>
          <w:p w14:paraId="6ADD7334"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1.5</w:t>
            </w:r>
          </w:p>
        </w:tc>
        <w:tc>
          <w:tcPr>
            <w:tcW w:w="0" w:type="auto"/>
          </w:tcPr>
          <w:p w14:paraId="4C998A26"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4.3</w:t>
            </w:r>
          </w:p>
        </w:tc>
      </w:tr>
      <w:tr w:rsidR="00AC4E03" w:rsidRPr="005871E7" w14:paraId="45CC7F20" w14:textId="77777777">
        <w:tc>
          <w:tcPr>
            <w:tcW w:w="0" w:type="auto"/>
          </w:tcPr>
          <w:p w14:paraId="2A07012E"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Missing/NA</w:t>
            </w:r>
          </w:p>
        </w:tc>
        <w:tc>
          <w:tcPr>
            <w:tcW w:w="0" w:type="auto"/>
          </w:tcPr>
          <w:p w14:paraId="69C50A77"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5239</w:t>
            </w:r>
          </w:p>
        </w:tc>
        <w:tc>
          <w:tcPr>
            <w:tcW w:w="0" w:type="auto"/>
          </w:tcPr>
          <w:p w14:paraId="472F5F6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65.2</w:t>
            </w:r>
          </w:p>
        </w:tc>
        <w:tc>
          <w:tcPr>
            <w:tcW w:w="0" w:type="auto"/>
          </w:tcPr>
          <w:p w14:paraId="7F6AF88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w:t>
            </w:r>
          </w:p>
        </w:tc>
      </w:tr>
    </w:tbl>
    <w:p w14:paraId="5135B7AE" w14:textId="77777777" w:rsidR="00AC4E03" w:rsidRPr="005871E7" w:rsidRDefault="00000000" w:rsidP="005871E7">
      <w:pPr>
        <w:pStyle w:val="Heading4"/>
        <w:spacing w:line="360" w:lineRule="auto"/>
        <w:jc w:val="both"/>
        <w:rPr>
          <w:rFonts w:ascii="Garamond" w:hAnsi="Garamond"/>
        </w:rPr>
      </w:pPr>
      <w:bookmarkStart w:id="78" w:name="source-of-service-for-ifas"/>
      <w:bookmarkEnd w:id="77"/>
      <w:r w:rsidRPr="005871E7">
        <w:rPr>
          <w:rFonts w:ascii="Garamond" w:hAnsi="Garamond"/>
        </w:rPr>
        <w:lastRenderedPageBreak/>
        <w:t>Source of Service for IFAS</w:t>
      </w:r>
    </w:p>
    <w:p w14:paraId="14D46BE0" w14:textId="77777777" w:rsidR="00AC4E03" w:rsidRPr="005871E7" w:rsidRDefault="00000000" w:rsidP="005871E7">
      <w:pPr>
        <w:pStyle w:val="FirstParagraph"/>
        <w:spacing w:line="360" w:lineRule="auto"/>
        <w:jc w:val="both"/>
        <w:rPr>
          <w:rFonts w:ascii="Garamond" w:hAnsi="Garamond"/>
        </w:rPr>
      </w:pPr>
      <w:r w:rsidRPr="005871E7">
        <w:rPr>
          <w:rFonts w:ascii="Garamond" w:hAnsi="Garamond"/>
        </w:rPr>
        <w:t>Almost all respondents (99.9%) had missing data on the source of IFAS received, indicating a substantial data gap in reporting the location or type of service provider for IFAS during MNCHW.</w:t>
      </w:r>
    </w:p>
    <w:tbl>
      <w:tblPr>
        <w:tblStyle w:val="Table"/>
        <w:tblW w:w="5000" w:type="pct"/>
        <w:tblLayout w:type="fixed"/>
        <w:tblLook w:val="0020" w:firstRow="1" w:lastRow="0" w:firstColumn="0" w:lastColumn="0" w:noHBand="0" w:noVBand="0"/>
      </w:tblPr>
      <w:tblGrid>
        <w:gridCol w:w="4304"/>
        <w:gridCol w:w="832"/>
        <w:gridCol w:w="1804"/>
        <w:gridCol w:w="2636"/>
      </w:tblGrid>
      <w:tr w:rsidR="00AC4E03" w:rsidRPr="005871E7" w14:paraId="149F2945" w14:textId="77777777" w:rsidTr="00AC4E03">
        <w:trPr>
          <w:cnfStyle w:val="100000000000" w:firstRow="1" w:lastRow="0" w:firstColumn="0" w:lastColumn="0" w:oddVBand="0" w:evenVBand="0" w:oddHBand="0" w:evenHBand="0" w:firstRowFirstColumn="0" w:firstRowLastColumn="0" w:lastRowFirstColumn="0" w:lastRowLastColumn="0"/>
          <w:tblHeader/>
        </w:trPr>
        <w:tc>
          <w:tcPr>
            <w:tcW w:w="3558" w:type="dxa"/>
          </w:tcPr>
          <w:p w14:paraId="343B25CD"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Source of IFAS Supplementation</w:t>
            </w:r>
          </w:p>
        </w:tc>
        <w:tc>
          <w:tcPr>
            <w:tcW w:w="688" w:type="dxa"/>
          </w:tcPr>
          <w:p w14:paraId="5C25F08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n</w:t>
            </w:r>
          </w:p>
        </w:tc>
        <w:tc>
          <w:tcPr>
            <w:tcW w:w="1492" w:type="dxa"/>
          </w:tcPr>
          <w:p w14:paraId="3688663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Percent (%)</w:t>
            </w:r>
          </w:p>
        </w:tc>
        <w:tc>
          <w:tcPr>
            <w:tcW w:w="2180" w:type="dxa"/>
          </w:tcPr>
          <w:p w14:paraId="29C56422"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Valid Percent (%)</w:t>
            </w:r>
          </w:p>
        </w:tc>
      </w:tr>
      <w:tr w:rsidR="00AC4E03" w:rsidRPr="005871E7" w14:paraId="68790A7B" w14:textId="77777777">
        <w:tc>
          <w:tcPr>
            <w:tcW w:w="3558" w:type="dxa"/>
          </w:tcPr>
          <w:p w14:paraId="38FF096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Missing/NA</w:t>
            </w:r>
          </w:p>
        </w:tc>
        <w:tc>
          <w:tcPr>
            <w:tcW w:w="688" w:type="dxa"/>
          </w:tcPr>
          <w:p w14:paraId="2B182C8D"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8041</w:t>
            </w:r>
          </w:p>
        </w:tc>
        <w:tc>
          <w:tcPr>
            <w:tcW w:w="1492" w:type="dxa"/>
          </w:tcPr>
          <w:p w14:paraId="5971F44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100.0</w:t>
            </w:r>
          </w:p>
        </w:tc>
        <w:tc>
          <w:tcPr>
            <w:tcW w:w="2180" w:type="dxa"/>
          </w:tcPr>
          <w:p w14:paraId="03B59746"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w:t>
            </w:r>
          </w:p>
        </w:tc>
      </w:tr>
    </w:tbl>
    <w:p w14:paraId="0693F76A" w14:textId="77777777" w:rsidR="00AC4E03" w:rsidRPr="005871E7" w:rsidRDefault="00000000" w:rsidP="005871E7">
      <w:pPr>
        <w:pStyle w:val="BodyText"/>
        <w:spacing w:line="360" w:lineRule="auto"/>
        <w:jc w:val="both"/>
        <w:rPr>
          <w:rFonts w:ascii="Garamond" w:hAnsi="Garamond"/>
        </w:rPr>
      </w:pPr>
      <w:r w:rsidRPr="005871E7">
        <w:rPr>
          <w:rFonts w:ascii="Garamond" w:hAnsi="Garamond"/>
        </w:rPr>
        <w:t>The findings highlight low reported coverage of key maternal health interventions among women of childbearing age during the last MNCHW, with only about one-third of women receiving tetanus toxoid and a very small proportion reporting receipt of iron/folic acid, ANC, or PNC services. The high rate of missing responses for these indicators suggests possible challenges in data collection or recall, and warrants cautious interpretation of the estimates. Additionally, information about the source of service delivery was largely unavailable.</w:t>
      </w:r>
    </w:p>
    <w:p w14:paraId="7587521B" w14:textId="77777777" w:rsidR="00AC4E03" w:rsidRPr="005871E7" w:rsidRDefault="00000000" w:rsidP="005871E7">
      <w:pPr>
        <w:pStyle w:val="BodyText"/>
        <w:spacing w:line="360" w:lineRule="auto"/>
        <w:jc w:val="both"/>
        <w:rPr>
          <w:rFonts w:ascii="Garamond" w:hAnsi="Garamond"/>
        </w:rPr>
      </w:pPr>
      <w:r w:rsidRPr="005871E7">
        <w:rPr>
          <w:rFonts w:ascii="Garamond" w:hAnsi="Garamond"/>
          <w:b/>
          <w:bCs/>
        </w:rPr>
        <w:t>SUmmary table For Indicators for Women of Childbearing Age (15–49 years</w:t>
      </w:r>
    </w:p>
    <w:tbl>
      <w:tblPr>
        <w:tblStyle w:val="Table"/>
        <w:tblW w:w="5000" w:type="pct"/>
        <w:tblLayout w:type="fixed"/>
        <w:tblLook w:val="0020" w:firstRow="1" w:lastRow="0" w:firstColumn="0" w:lastColumn="0" w:noHBand="0" w:noVBand="0"/>
      </w:tblPr>
      <w:tblGrid>
        <w:gridCol w:w="6506"/>
        <w:gridCol w:w="1625"/>
        <w:gridCol w:w="1445"/>
      </w:tblGrid>
      <w:tr w:rsidR="00AC4E03" w:rsidRPr="005871E7" w14:paraId="1495D8DC" w14:textId="77777777" w:rsidTr="00AC4E03">
        <w:trPr>
          <w:cnfStyle w:val="100000000000" w:firstRow="1" w:lastRow="0" w:firstColumn="0" w:lastColumn="0" w:oddVBand="0" w:evenVBand="0" w:oddHBand="0" w:evenHBand="0" w:firstRowFirstColumn="0" w:firstRowLastColumn="0" w:lastRowFirstColumn="0" w:lastRowLastColumn="0"/>
          <w:tblHeader/>
        </w:trPr>
        <w:tc>
          <w:tcPr>
            <w:tcW w:w="5379" w:type="dxa"/>
          </w:tcPr>
          <w:p w14:paraId="6365C347"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Indicator</w:t>
            </w:r>
          </w:p>
        </w:tc>
        <w:tc>
          <w:tcPr>
            <w:tcW w:w="1344" w:type="dxa"/>
          </w:tcPr>
          <w:p w14:paraId="5201632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Yes (%)</w:t>
            </w:r>
          </w:p>
        </w:tc>
        <w:tc>
          <w:tcPr>
            <w:tcW w:w="1195" w:type="dxa"/>
          </w:tcPr>
          <w:p w14:paraId="1A464370"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No (%)</w:t>
            </w:r>
          </w:p>
        </w:tc>
      </w:tr>
      <w:tr w:rsidR="00AC4E03" w:rsidRPr="005871E7" w14:paraId="189B8A09" w14:textId="77777777">
        <w:tc>
          <w:tcPr>
            <w:tcW w:w="5379" w:type="dxa"/>
          </w:tcPr>
          <w:p w14:paraId="53AD3A1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Received iron and folic acid (IFAS) during last MNCHW</w:t>
            </w:r>
          </w:p>
        </w:tc>
        <w:tc>
          <w:tcPr>
            <w:tcW w:w="1344" w:type="dxa"/>
          </w:tcPr>
          <w:p w14:paraId="379ACA8B"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7.4</w:t>
            </w:r>
          </w:p>
        </w:tc>
        <w:tc>
          <w:tcPr>
            <w:tcW w:w="1195" w:type="dxa"/>
          </w:tcPr>
          <w:p w14:paraId="4858FAD5"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7.4</w:t>
            </w:r>
          </w:p>
        </w:tc>
      </w:tr>
      <w:tr w:rsidR="00AC4E03" w:rsidRPr="005871E7" w14:paraId="059E3A7A" w14:textId="77777777">
        <w:tc>
          <w:tcPr>
            <w:tcW w:w="5379" w:type="dxa"/>
          </w:tcPr>
          <w:p w14:paraId="220B27C7"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Received tetanus toxoid (TT)</w:t>
            </w:r>
          </w:p>
        </w:tc>
        <w:tc>
          <w:tcPr>
            <w:tcW w:w="1344" w:type="dxa"/>
          </w:tcPr>
          <w:p w14:paraId="2101D317"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36.1</w:t>
            </w:r>
          </w:p>
        </w:tc>
        <w:tc>
          <w:tcPr>
            <w:tcW w:w="1195" w:type="dxa"/>
          </w:tcPr>
          <w:p w14:paraId="5E0BCC0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63.9</w:t>
            </w:r>
          </w:p>
        </w:tc>
      </w:tr>
      <w:tr w:rsidR="00AC4E03" w:rsidRPr="005871E7" w14:paraId="4A16223A" w14:textId="77777777">
        <w:tc>
          <w:tcPr>
            <w:tcW w:w="5379" w:type="dxa"/>
          </w:tcPr>
          <w:p w14:paraId="22361451"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Received ANC services</w:t>
            </w:r>
          </w:p>
        </w:tc>
        <w:tc>
          <w:tcPr>
            <w:tcW w:w="1344" w:type="dxa"/>
          </w:tcPr>
          <w:p w14:paraId="0FB6318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4.5</w:t>
            </w:r>
          </w:p>
        </w:tc>
        <w:tc>
          <w:tcPr>
            <w:tcW w:w="1195" w:type="dxa"/>
          </w:tcPr>
          <w:p w14:paraId="5B96FA88"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30.3</w:t>
            </w:r>
          </w:p>
        </w:tc>
      </w:tr>
      <w:tr w:rsidR="00AC4E03" w:rsidRPr="005871E7" w14:paraId="6AF50773" w14:textId="77777777">
        <w:tc>
          <w:tcPr>
            <w:tcW w:w="5379" w:type="dxa"/>
          </w:tcPr>
          <w:p w14:paraId="4E2BD759"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Received PNC services</w:t>
            </w:r>
          </w:p>
        </w:tc>
        <w:tc>
          <w:tcPr>
            <w:tcW w:w="1344" w:type="dxa"/>
          </w:tcPr>
          <w:p w14:paraId="02F147B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1.5</w:t>
            </w:r>
          </w:p>
        </w:tc>
        <w:tc>
          <w:tcPr>
            <w:tcW w:w="1195" w:type="dxa"/>
          </w:tcPr>
          <w:p w14:paraId="7D596E9A" w14:textId="77777777" w:rsidR="00AC4E03" w:rsidRPr="005871E7" w:rsidRDefault="00000000" w:rsidP="005871E7">
            <w:pPr>
              <w:pStyle w:val="Compact"/>
              <w:spacing w:line="360" w:lineRule="auto"/>
              <w:jc w:val="both"/>
              <w:rPr>
                <w:rFonts w:ascii="Garamond" w:hAnsi="Garamond"/>
              </w:rPr>
            </w:pPr>
            <w:r w:rsidRPr="005871E7">
              <w:rPr>
                <w:rFonts w:ascii="Garamond" w:hAnsi="Garamond"/>
              </w:rPr>
              <w:t>33.3</w:t>
            </w:r>
          </w:p>
        </w:tc>
      </w:tr>
      <w:bookmarkEnd w:id="43"/>
      <w:bookmarkEnd w:id="72"/>
      <w:bookmarkEnd w:id="74"/>
      <w:bookmarkEnd w:id="78"/>
    </w:tbl>
    <w:p w14:paraId="3CB993F4" w14:textId="77777777" w:rsidR="003E2178" w:rsidRPr="005871E7" w:rsidRDefault="003E2178" w:rsidP="00AD7D88">
      <w:pPr>
        <w:pStyle w:val="Heading1"/>
        <w:spacing w:line="360" w:lineRule="auto"/>
        <w:jc w:val="both"/>
        <w:rPr>
          <w:rFonts w:ascii="Garamond" w:hAnsi="Garamond"/>
        </w:rPr>
      </w:pPr>
    </w:p>
    <w:sectPr w:rsidR="003E2178" w:rsidRPr="005871E7">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8A4D25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3DE381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7DAD6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AE74FFE"/>
    <w:multiLevelType w:val="multilevel"/>
    <w:tmpl w:val="04DC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BD3E0E"/>
    <w:multiLevelType w:val="multilevel"/>
    <w:tmpl w:val="CFF2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411E0"/>
    <w:multiLevelType w:val="multilevel"/>
    <w:tmpl w:val="DCA2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E6CD9"/>
    <w:multiLevelType w:val="multilevel"/>
    <w:tmpl w:val="2B1E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17E19"/>
    <w:multiLevelType w:val="hybridMultilevel"/>
    <w:tmpl w:val="07E2D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28351C"/>
    <w:multiLevelType w:val="hybridMultilevel"/>
    <w:tmpl w:val="445862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C037441"/>
    <w:multiLevelType w:val="multilevel"/>
    <w:tmpl w:val="58BA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C33A5"/>
    <w:multiLevelType w:val="multilevel"/>
    <w:tmpl w:val="E46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E74907"/>
    <w:multiLevelType w:val="multilevel"/>
    <w:tmpl w:val="BB8C6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533984"/>
    <w:multiLevelType w:val="multilevel"/>
    <w:tmpl w:val="6D00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6155276">
    <w:abstractNumId w:val="0"/>
  </w:num>
  <w:num w:numId="2" w16cid:durableId="1860192882">
    <w:abstractNumId w:val="1"/>
  </w:num>
  <w:num w:numId="3" w16cid:durableId="11741031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03274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5365500">
    <w:abstractNumId w:val="1"/>
  </w:num>
  <w:num w:numId="6" w16cid:durableId="1663389139">
    <w:abstractNumId w:val="1"/>
  </w:num>
  <w:num w:numId="7" w16cid:durableId="198132710">
    <w:abstractNumId w:val="1"/>
  </w:num>
  <w:num w:numId="8" w16cid:durableId="1816799077">
    <w:abstractNumId w:val="6"/>
  </w:num>
  <w:num w:numId="9" w16cid:durableId="376703508">
    <w:abstractNumId w:val="3"/>
  </w:num>
  <w:num w:numId="10" w16cid:durableId="1182352269">
    <w:abstractNumId w:val="8"/>
  </w:num>
  <w:num w:numId="11" w16cid:durableId="1977491328">
    <w:abstractNumId w:val="7"/>
  </w:num>
  <w:num w:numId="12" w16cid:durableId="1864124857">
    <w:abstractNumId w:val="9"/>
  </w:num>
  <w:num w:numId="13" w16cid:durableId="1825388264">
    <w:abstractNumId w:val="11"/>
  </w:num>
  <w:num w:numId="14" w16cid:durableId="769158821">
    <w:abstractNumId w:val="5"/>
  </w:num>
  <w:num w:numId="15" w16cid:durableId="1132480685">
    <w:abstractNumId w:val="12"/>
  </w:num>
  <w:num w:numId="16" w16cid:durableId="2063819306">
    <w:abstractNumId w:val="10"/>
  </w:num>
  <w:num w:numId="17" w16cid:durableId="85735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AC4E03"/>
    <w:rsid w:val="00006865"/>
    <w:rsid w:val="00086D7F"/>
    <w:rsid w:val="00100E9A"/>
    <w:rsid w:val="00100F11"/>
    <w:rsid w:val="0012444F"/>
    <w:rsid w:val="00162391"/>
    <w:rsid w:val="00326F04"/>
    <w:rsid w:val="00365899"/>
    <w:rsid w:val="003661E0"/>
    <w:rsid w:val="003E2178"/>
    <w:rsid w:val="00453FEA"/>
    <w:rsid w:val="005054B9"/>
    <w:rsid w:val="005871E7"/>
    <w:rsid w:val="005912CC"/>
    <w:rsid w:val="00726C48"/>
    <w:rsid w:val="00AC4E03"/>
    <w:rsid w:val="00AD7D88"/>
    <w:rsid w:val="00B741C6"/>
    <w:rsid w:val="00BF17AC"/>
    <w:rsid w:val="00C145E6"/>
    <w:rsid w:val="00C45809"/>
    <w:rsid w:val="00D021CE"/>
    <w:rsid w:val="00DC4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DA77D"/>
  <w15:docId w15:val="{FDD9AED0-5A79-4F17-9625-71491512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D88"/>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5871E7"/>
    <w:pPr>
      <w:spacing w:after="100"/>
    </w:pPr>
  </w:style>
  <w:style w:type="paragraph" w:styleId="TOC2">
    <w:name w:val="toc 2"/>
    <w:basedOn w:val="Normal"/>
    <w:next w:val="Normal"/>
    <w:autoRedefine/>
    <w:uiPriority w:val="39"/>
    <w:rsid w:val="005871E7"/>
    <w:pPr>
      <w:spacing w:after="100"/>
      <w:ind w:left="240"/>
    </w:pPr>
  </w:style>
  <w:style w:type="character" w:customStyle="1" w:styleId="BodyTextChar">
    <w:name w:val="Body Text Char"/>
    <w:basedOn w:val="DefaultParagraphFont"/>
    <w:link w:val="BodyText"/>
    <w:rsid w:val="00B741C6"/>
  </w:style>
  <w:style w:type="table" w:styleId="TableGrid">
    <w:name w:val="Table Grid"/>
    <w:basedOn w:val="TableNormal"/>
    <w:rsid w:val="00100E9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rsid w:val="003661E0"/>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629044">
      <w:bodyDiv w:val="1"/>
      <w:marLeft w:val="0"/>
      <w:marRight w:val="0"/>
      <w:marTop w:val="0"/>
      <w:marBottom w:val="0"/>
      <w:divBdr>
        <w:top w:val="none" w:sz="0" w:space="0" w:color="auto"/>
        <w:left w:val="none" w:sz="0" w:space="0" w:color="auto"/>
        <w:bottom w:val="none" w:sz="0" w:space="0" w:color="auto"/>
        <w:right w:val="none" w:sz="0" w:space="0" w:color="auto"/>
      </w:divBdr>
    </w:div>
    <w:div w:id="318579746">
      <w:bodyDiv w:val="1"/>
      <w:marLeft w:val="0"/>
      <w:marRight w:val="0"/>
      <w:marTop w:val="0"/>
      <w:marBottom w:val="0"/>
      <w:divBdr>
        <w:top w:val="none" w:sz="0" w:space="0" w:color="auto"/>
        <w:left w:val="none" w:sz="0" w:space="0" w:color="auto"/>
        <w:bottom w:val="none" w:sz="0" w:space="0" w:color="auto"/>
        <w:right w:val="none" w:sz="0" w:space="0" w:color="auto"/>
      </w:divBdr>
    </w:div>
    <w:div w:id="318769516">
      <w:bodyDiv w:val="1"/>
      <w:marLeft w:val="0"/>
      <w:marRight w:val="0"/>
      <w:marTop w:val="0"/>
      <w:marBottom w:val="0"/>
      <w:divBdr>
        <w:top w:val="none" w:sz="0" w:space="0" w:color="auto"/>
        <w:left w:val="none" w:sz="0" w:space="0" w:color="auto"/>
        <w:bottom w:val="none" w:sz="0" w:space="0" w:color="auto"/>
        <w:right w:val="none" w:sz="0" w:space="0" w:color="auto"/>
      </w:divBdr>
    </w:div>
    <w:div w:id="430903542">
      <w:bodyDiv w:val="1"/>
      <w:marLeft w:val="0"/>
      <w:marRight w:val="0"/>
      <w:marTop w:val="0"/>
      <w:marBottom w:val="0"/>
      <w:divBdr>
        <w:top w:val="none" w:sz="0" w:space="0" w:color="auto"/>
        <w:left w:val="none" w:sz="0" w:space="0" w:color="auto"/>
        <w:bottom w:val="none" w:sz="0" w:space="0" w:color="auto"/>
        <w:right w:val="none" w:sz="0" w:space="0" w:color="auto"/>
      </w:divBdr>
    </w:div>
    <w:div w:id="468982002">
      <w:bodyDiv w:val="1"/>
      <w:marLeft w:val="0"/>
      <w:marRight w:val="0"/>
      <w:marTop w:val="0"/>
      <w:marBottom w:val="0"/>
      <w:divBdr>
        <w:top w:val="none" w:sz="0" w:space="0" w:color="auto"/>
        <w:left w:val="none" w:sz="0" w:space="0" w:color="auto"/>
        <w:bottom w:val="none" w:sz="0" w:space="0" w:color="auto"/>
        <w:right w:val="none" w:sz="0" w:space="0" w:color="auto"/>
      </w:divBdr>
    </w:div>
    <w:div w:id="532574309">
      <w:bodyDiv w:val="1"/>
      <w:marLeft w:val="0"/>
      <w:marRight w:val="0"/>
      <w:marTop w:val="0"/>
      <w:marBottom w:val="0"/>
      <w:divBdr>
        <w:top w:val="none" w:sz="0" w:space="0" w:color="auto"/>
        <w:left w:val="none" w:sz="0" w:space="0" w:color="auto"/>
        <w:bottom w:val="none" w:sz="0" w:space="0" w:color="auto"/>
        <w:right w:val="none" w:sz="0" w:space="0" w:color="auto"/>
      </w:divBdr>
    </w:div>
    <w:div w:id="589856376">
      <w:bodyDiv w:val="1"/>
      <w:marLeft w:val="0"/>
      <w:marRight w:val="0"/>
      <w:marTop w:val="0"/>
      <w:marBottom w:val="0"/>
      <w:divBdr>
        <w:top w:val="none" w:sz="0" w:space="0" w:color="auto"/>
        <w:left w:val="none" w:sz="0" w:space="0" w:color="auto"/>
        <w:bottom w:val="none" w:sz="0" w:space="0" w:color="auto"/>
        <w:right w:val="none" w:sz="0" w:space="0" w:color="auto"/>
      </w:divBdr>
      <w:divsChild>
        <w:div w:id="123477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457451">
      <w:bodyDiv w:val="1"/>
      <w:marLeft w:val="0"/>
      <w:marRight w:val="0"/>
      <w:marTop w:val="0"/>
      <w:marBottom w:val="0"/>
      <w:divBdr>
        <w:top w:val="none" w:sz="0" w:space="0" w:color="auto"/>
        <w:left w:val="none" w:sz="0" w:space="0" w:color="auto"/>
        <w:bottom w:val="none" w:sz="0" w:space="0" w:color="auto"/>
        <w:right w:val="none" w:sz="0" w:space="0" w:color="auto"/>
      </w:divBdr>
    </w:div>
    <w:div w:id="741147672">
      <w:bodyDiv w:val="1"/>
      <w:marLeft w:val="0"/>
      <w:marRight w:val="0"/>
      <w:marTop w:val="0"/>
      <w:marBottom w:val="0"/>
      <w:divBdr>
        <w:top w:val="none" w:sz="0" w:space="0" w:color="auto"/>
        <w:left w:val="none" w:sz="0" w:space="0" w:color="auto"/>
        <w:bottom w:val="none" w:sz="0" w:space="0" w:color="auto"/>
        <w:right w:val="none" w:sz="0" w:space="0" w:color="auto"/>
      </w:divBdr>
    </w:div>
    <w:div w:id="1010596274">
      <w:bodyDiv w:val="1"/>
      <w:marLeft w:val="0"/>
      <w:marRight w:val="0"/>
      <w:marTop w:val="0"/>
      <w:marBottom w:val="0"/>
      <w:divBdr>
        <w:top w:val="none" w:sz="0" w:space="0" w:color="auto"/>
        <w:left w:val="none" w:sz="0" w:space="0" w:color="auto"/>
        <w:bottom w:val="none" w:sz="0" w:space="0" w:color="auto"/>
        <w:right w:val="none" w:sz="0" w:space="0" w:color="auto"/>
      </w:divBdr>
    </w:div>
    <w:div w:id="1282106532">
      <w:bodyDiv w:val="1"/>
      <w:marLeft w:val="0"/>
      <w:marRight w:val="0"/>
      <w:marTop w:val="0"/>
      <w:marBottom w:val="0"/>
      <w:divBdr>
        <w:top w:val="none" w:sz="0" w:space="0" w:color="auto"/>
        <w:left w:val="none" w:sz="0" w:space="0" w:color="auto"/>
        <w:bottom w:val="none" w:sz="0" w:space="0" w:color="auto"/>
        <w:right w:val="none" w:sz="0" w:space="0" w:color="auto"/>
      </w:divBdr>
      <w:divsChild>
        <w:div w:id="158225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29274">
      <w:bodyDiv w:val="1"/>
      <w:marLeft w:val="0"/>
      <w:marRight w:val="0"/>
      <w:marTop w:val="0"/>
      <w:marBottom w:val="0"/>
      <w:divBdr>
        <w:top w:val="none" w:sz="0" w:space="0" w:color="auto"/>
        <w:left w:val="none" w:sz="0" w:space="0" w:color="auto"/>
        <w:bottom w:val="none" w:sz="0" w:space="0" w:color="auto"/>
        <w:right w:val="none" w:sz="0" w:space="0" w:color="auto"/>
      </w:divBdr>
    </w:div>
    <w:div w:id="1307277707">
      <w:bodyDiv w:val="1"/>
      <w:marLeft w:val="0"/>
      <w:marRight w:val="0"/>
      <w:marTop w:val="0"/>
      <w:marBottom w:val="0"/>
      <w:divBdr>
        <w:top w:val="none" w:sz="0" w:space="0" w:color="auto"/>
        <w:left w:val="none" w:sz="0" w:space="0" w:color="auto"/>
        <w:bottom w:val="none" w:sz="0" w:space="0" w:color="auto"/>
        <w:right w:val="none" w:sz="0" w:space="0" w:color="auto"/>
      </w:divBdr>
    </w:div>
    <w:div w:id="1351105003">
      <w:bodyDiv w:val="1"/>
      <w:marLeft w:val="0"/>
      <w:marRight w:val="0"/>
      <w:marTop w:val="0"/>
      <w:marBottom w:val="0"/>
      <w:divBdr>
        <w:top w:val="none" w:sz="0" w:space="0" w:color="auto"/>
        <w:left w:val="none" w:sz="0" w:space="0" w:color="auto"/>
        <w:bottom w:val="none" w:sz="0" w:space="0" w:color="auto"/>
        <w:right w:val="none" w:sz="0" w:space="0" w:color="auto"/>
      </w:divBdr>
    </w:div>
    <w:div w:id="1414425362">
      <w:bodyDiv w:val="1"/>
      <w:marLeft w:val="0"/>
      <w:marRight w:val="0"/>
      <w:marTop w:val="0"/>
      <w:marBottom w:val="0"/>
      <w:divBdr>
        <w:top w:val="none" w:sz="0" w:space="0" w:color="auto"/>
        <w:left w:val="none" w:sz="0" w:space="0" w:color="auto"/>
        <w:bottom w:val="none" w:sz="0" w:space="0" w:color="auto"/>
        <w:right w:val="none" w:sz="0" w:space="0" w:color="auto"/>
      </w:divBdr>
    </w:div>
    <w:div w:id="1539003061">
      <w:bodyDiv w:val="1"/>
      <w:marLeft w:val="0"/>
      <w:marRight w:val="0"/>
      <w:marTop w:val="0"/>
      <w:marBottom w:val="0"/>
      <w:divBdr>
        <w:top w:val="none" w:sz="0" w:space="0" w:color="auto"/>
        <w:left w:val="none" w:sz="0" w:space="0" w:color="auto"/>
        <w:bottom w:val="none" w:sz="0" w:space="0" w:color="auto"/>
        <w:right w:val="none" w:sz="0" w:space="0" w:color="auto"/>
      </w:divBdr>
    </w:div>
    <w:div w:id="1640263065">
      <w:bodyDiv w:val="1"/>
      <w:marLeft w:val="0"/>
      <w:marRight w:val="0"/>
      <w:marTop w:val="0"/>
      <w:marBottom w:val="0"/>
      <w:divBdr>
        <w:top w:val="none" w:sz="0" w:space="0" w:color="auto"/>
        <w:left w:val="none" w:sz="0" w:space="0" w:color="auto"/>
        <w:bottom w:val="none" w:sz="0" w:space="0" w:color="auto"/>
        <w:right w:val="none" w:sz="0" w:space="0" w:color="auto"/>
      </w:divBdr>
    </w:div>
    <w:div w:id="1862668690">
      <w:bodyDiv w:val="1"/>
      <w:marLeft w:val="0"/>
      <w:marRight w:val="0"/>
      <w:marTop w:val="0"/>
      <w:marBottom w:val="0"/>
      <w:divBdr>
        <w:top w:val="none" w:sz="0" w:space="0" w:color="auto"/>
        <w:left w:val="none" w:sz="0" w:space="0" w:color="auto"/>
        <w:bottom w:val="none" w:sz="0" w:space="0" w:color="auto"/>
        <w:right w:val="none" w:sz="0" w:space="0" w:color="auto"/>
      </w:divBdr>
    </w:div>
    <w:div w:id="1939212730">
      <w:bodyDiv w:val="1"/>
      <w:marLeft w:val="0"/>
      <w:marRight w:val="0"/>
      <w:marTop w:val="0"/>
      <w:marBottom w:val="0"/>
      <w:divBdr>
        <w:top w:val="none" w:sz="0" w:space="0" w:color="auto"/>
        <w:left w:val="none" w:sz="0" w:space="0" w:color="auto"/>
        <w:bottom w:val="none" w:sz="0" w:space="0" w:color="auto"/>
        <w:right w:val="none" w:sz="0" w:space="0" w:color="auto"/>
      </w:divBdr>
      <w:divsChild>
        <w:div w:id="117888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9527267">
      <w:bodyDiv w:val="1"/>
      <w:marLeft w:val="0"/>
      <w:marRight w:val="0"/>
      <w:marTop w:val="0"/>
      <w:marBottom w:val="0"/>
      <w:divBdr>
        <w:top w:val="none" w:sz="0" w:space="0" w:color="auto"/>
        <w:left w:val="none" w:sz="0" w:space="0" w:color="auto"/>
        <w:bottom w:val="none" w:sz="0" w:space="0" w:color="auto"/>
        <w:right w:val="none" w:sz="0" w:space="0" w:color="auto"/>
      </w:divBdr>
      <w:divsChild>
        <w:div w:id="10101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8873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260</TotalTime>
  <Pages>49</Pages>
  <Words>10944</Words>
  <Characters>62387</Characters>
  <Application>Microsoft Office Word</Application>
  <DocSecurity>0</DocSecurity>
  <Lines>2012</Lines>
  <Paragraphs>1629</Paragraphs>
  <ScaleCrop>false</ScaleCrop>
  <HeadingPairs>
    <vt:vector size="2" baseType="variant">
      <vt:variant>
        <vt:lpstr>Title</vt:lpstr>
      </vt:variant>
      <vt:variant>
        <vt:i4>1</vt:i4>
      </vt:variant>
    </vt:vector>
  </HeadingPairs>
  <TitlesOfParts>
    <vt:vector size="1" baseType="lpstr">
      <vt:lpstr>MC SMC+VAS Baseline Analysis Bauchi State, Nigeria – 2025</vt:lpstr>
    </vt:vector>
  </TitlesOfParts>
  <Company/>
  <LinksUpToDate>false</LinksUpToDate>
  <CharactersWithSpaces>71702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 SMC+VAS Baseline Analysis Bauchi State, Nigeria – 2025</dc:title>
  <dc:creator>Malaria Consortium</dc:creator>
  <cp:keywords/>
  <cp:lastModifiedBy>AbdulHafiz Abba</cp:lastModifiedBy>
  <cp:revision>5</cp:revision>
  <dcterms:created xsi:type="dcterms:W3CDTF">2025-06-23T10:02:00Z</dcterms:created>
  <dcterms:modified xsi:type="dcterms:W3CDTF">2025-06-23T15:49:00Z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2025</vt:lpwstr>
  </property>
  <property fmtid="{D5CDD505-2E9C-101B-9397-08002B2CF9AE}" pid="3" name="documentclass">
    <vt:lpwstr>report</vt:lpwstr>
  </property>
  <property fmtid="{D5CDD505-2E9C-101B-9397-08002B2CF9AE}" pid="4" name="fontsize">
    <vt:lpwstr>11pt</vt:lpwstr>
  </property>
  <property fmtid="{D5CDD505-2E9C-101B-9397-08002B2CF9AE}" pid="5" name="geometry">
    <vt:lpwstr>margin=1in</vt:lpwstr>
  </property>
  <property fmtid="{D5CDD505-2E9C-101B-9397-08002B2CF9AE}" pid="6" name="output">
    <vt:lpwstr/>
  </property>
  <property fmtid="{D5CDD505-2E9C-101B-9397-08002B2CF9AE}" pid="7" name="GrammarlyDocumentId">
    <vt:lpwstr>d8c619d9-ead9-4424-8214-8c3492f205aa</vt:lpwstr>
  </property>
</Properties>
</file>