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80"/>
      </w:pPr>
      <w:r>
        <w:rPr>
          <w:rFonts w:ascii="Calibri" w:cs="Calibri" w:eastAsia="Calibri" w:hAnsi="Calibri"/>
          <w:b/>
          <w:bCs/>
          <w:color w:val="12203A"/>
          <w:sz w:val="64"/>
          <w:szCs w:val="64"/>
        </w:rPr>
        <w:t xml:space="preserve">FORESITE</w:t>
      </w:r>
    </w:p>
    <w:p>
      <w:pPr>
        <w:spacing w:after="60"/>
      </w:pPr>
      <w:r>
        <w:rPr>
          <w:rFonts w:ascii="Calibri" w:cs="Calibri" w:eastAsia="Calibri" w:hAnsi="Calibri"/>
          <w:b/>
          <w:bCs/>
          <w:color w:val="C1502E"/>
          <w:sz w:val="30"/>
          <w:szCs w:val="30"/>
        </w:rPr>
        <w:t xml:space="preserve">User Manual &amp; Product Reference</w:t>
      </w:r>
    </w:p>
    <w:p>
      <w:pPr>
        <w:spacing w:after="900"/>
      </w:pPr>
      <w:r>
        <w:rPr>
          <w:color w:val="5B6B85"/>
          <w:sz w:val="22"/>
          <w:szCs w:val="22"/>
        </w:rPr>
        <w:t xml:space="preserve">Version 1.1 — Prototype Build</w:t>
      </w:r>
    </w:p>
    <w:p>
      <w:pPr>
        <w:pBdr>
          <w:top w:val="single" w:color="C9CFDD" w:sz="6" w:space="1"/>
        </w:pBdr>
      </w:pPr>
      <w:r>
        <w:t xml:space="preserve"/>
      </w:r>
    </w:p>
    <w:p>
      <w:pPr>
        <w:spacing w:after="300"/>
      </w:pPr>
    </w:p>
    <w:p>
      <w:pPr>
        <w:spacing w:after="120"/>
      </w:pPr>
      <w:r>
        <w:rPr>
          <w:i/>
          <w:iCs/>
          <w:color w:val="12203A"/>
          <w:sz w:val="24"/>
          <w:szCs w:val="24"/>
        </w:rPr>
        <w:t xml:space="preserve">Find problems before they cost you money.</w:t>
      </w:r>
    </w:p>
    <w:p>
      <w:r>
        <w:rPr>
          <w:color w:val="5B6B85"/>
          <w:sz w:val="20"/>
          <w:szCs w:val="20"/>
        </w:rPr>
        <w:t xml:space="preserve">Your jobs are talking. We tell you what matters.</w:t>
      </w:r>
    </w:p>
    <w:p>
      <w:pPr>
        <w:sectPr>
          <w:pgSz w:w="12240" w:h="15840" w:orient="portrait"/>
          <w:pgMar w:top="1440" w:right="1440" w:bottom="1440" w:left="1440" w:header="708" w:footer="708" w:gutter="0"/>
          <w:pgNumType/>
          <w:docGrid w:linePitch="360"/>
        </w:sectPr>
      </w:pPr>
    </w:p>
    <w:p>
      <w:pPr>
        <w:pStyle w:val="Heading1"/>
        <w:pBdr>
          <w:bottom w:val="single" w:color="C1502E" w:sz="10" w:space="6"/>
        </w:pBdr>
        <w:spacing w:after="160" w:before="420"/>
      </w:pPr>
      <w:r>
        <w:t xml:space="preserve">Table of Contents</w:t>
      </w:r>
    </w:p>
    <w:p>
      <w:pPr>
        <w:pStyle w:val="ListParagraph"/>
        <w:numPr>
          <w:ilvl w:val="0"/>
          <w:numId w:val="2"/>
        </w:numPr>
        <w:spacing w:after="80" w:line="276"/>
      </w:pPr>
      <w:r>
        <w:rPr>
          <w:rFonts w:ascii="Calibri" w:cs="Calibri" w:eastAsia="Calibri" w:hAnsi="Calibri"/>
          <w:sz w:val="22"/>
          <w:szCs w:val="22"/>
        </w:rPr>
        <w:t xml:space="preserve">1. What This Is, in Plain Terms</w:t>
      </w:r>
    </w:p>
    <w:p>
      <w:pPr>
        <w:pStyle w:val="ListParagraph"/>
        <w:numPr>
          <w:ilvl w:val="0"/>
          <w:numId w:val="2"/>
        </w:numPr>
        <w:spacing w:after="80" w:line="276"/>
      </w:pPr>
      <w:r>
        <w:rPr>
          <w:rFonts w:ascii="Calibri" w:cs="Calibri" w:eastAsia="Calibri" w:hAnsi="Calibri"/>
          <w:sz w:val="22"/>
          <w:szCs w:val="22"/>
        </w:rPr>
        <w:t xml:space="preserve">2. Who Uses What — the Contractor vs. the Field Crew</w:t>
      </w:r>
    </w:p>
    <w:p>
      <w:pPr>
        <w:pStyle w:val="ListParagraph"/>
        <w:numPr>
          <w:ilvl w:val="0"/>
          <w:numId w:val="2"/>
        </w:numPr>
        <w:spacing w:after="80" w:line="276"/>
      </w:pPr>
      <w:r>
        <w:rPr>
          <w:rFonts w:ascii="Calibri" w:cs="Calibri" w:eastAsia="Calibri" w:hAnsi="Calibri"/>
          <w:sz w:val="22"/>
          <w:szCs w:val="22"/>
        </w:rPr>
        <w:t xml:space="preserve">3. How It Works: The Core Loop</w:t>
      </w:r>
    </w:p>
    <w:p>
      <w:pPr>
        <w:pStyle w:val="ListParagraph"/>
        <w:numPr>
          <w:ilvl w:val="0"/>
          <w:numId w:val="2"/>
        </w:numPr>
        <w:spacing w:after="80" w:line="276"/>
      </w:pPr>
      <w:r>
        <w:rPr>
          <w:rFonts w:ascii="Calibri" w:cs="Calibri" w:eastAsia="Calibri" w:hAnsi="Calibri"/>
          <w:sz w:val="22"/>
          <w:szCs w:val="22"/>
        </w:rPr>
        <w:t xml:space="preserve">4. Getting Started (the One-Time Company Setup)</w:t>
      </w:r>
    </w:p>
    <w:p>
      <w:pPr>
        <w:pStyle w:val="ListParagraph"/>
        <w:numPr>
          <w:ilvl w:val="0"/>
          <w:numId w:val="2"/>
        </w:numPr>
        <w:spacing w:after="80" w:line="276"/>
      </w:pPr>
      <w:r>
        <w:rPr>
          <w:rFonts w:ascii="Calibri" w:cs="Calibri" w:eastAsia="Calibri" w:hAnsi="Calibri"/>
          <w:sz w:val="22"/>
          <w:szCs w:val="22"/>
        </w:rPr>
        <w:t xml:space="preserve">5. The Intelligence Inbox — What the Field Actually Uses</w:t>
      </w:r>
    </w:p>
    <w:p>
      <w:pPr>
        <w:pStyle w:val="ListParagraph"/>
        <w:numPr>
          <w:ilvl w:val="0"/>
          <w:numId w:val="2"/>
        </w:numPr>
        <w:spacing w:after="80" w:line="276"/>
      </w:pPr>
      <w:r>
        <w:rPr>
          <w:rFonts w:ascii="Calibri" w:cs="Calibri" w:eastAsia="Calibri" w:hAnsi="Calibri"/>
          <w:sz w:val="22"/>
          <w:szCs w:val="22"/>
        </w:rPr>
        <w:t xml:space="preserve">6. Speaking Instead of Typing</w:t>
      </w:r>
    </w:p>
    <w:p>
      <w:pPr>
        <w:pStyle w:val="ListParagraph"/>
        <w:numPr>
          <w:ilvl w:val="0"/>
          <w:numId w:val="2"/>
        </w:numPr>
        <w:spacing w:after="80" w:line="276"/>
      </w:pPr>
      <w:r>
        <w:rPr>
          <w:rFonts w:ascii="Calibri" w:cs="Calibri" w:eastAsia="Calibri" w:hAnsi="Calibri"/>
          <w:sz w:val="22"/>
          <w:szCs w:val="22"/>
        </w:rPr>
        <w:t xml:space="preserve">7. Working in Your Own Language</w:t>
      </w:r>
    </w:p>
    <w:p>
      <w:pPr>
        <w:pStyle w:val="ListParagraph"/>
        <w:numPr>
          <w:ilvl w:val="0"/>
          <w:numId w:val="2"/>
        </w:numPr>
        <w:spacing w:after="80" w:line="276"/>
      </w:pPr>
      <w:r>
        <w:rPr>
          <w:rFonts w:ascii="Calibri" w:cs="Calibri" w:eastAsia="Calibri" w:hAnsi="Calibri"/>
          <w:sz w:val="22"/>
          <w:szCs w:val="22"/>
        </w:rPr>
        <w:t xml:space="preserve">8. Reading an Extracted Event</w:t>
      </w:r>
    </w:p>
    <w:p>
      <w:pPr>
        <w:pStyle w:val="ListParagraph"/>
        <w:numPr>
          <w:ilvl w:val="0"/>
          <w:numId w:val="2"/>
        </w:numPr>
        <w:spacing w:after="80" w:line="276"/>
      </w:pPr>
      <w:r>
        <w:rPr>
          <w:rFonts w:ascii="Calibri" w:cs="Calibri" w:eastAsia="Calibri" w:hAnsi="Calibri"/>
          <w:sz w:val="22"/>
          <w:szCs w:val="22"/>
        </w:rPr>
        <w:t xml:space="preserve">9. Risk Scoring &amp; Severity</w:t>
      </w:r>
    </w:p>
    <w:p>
      <w:pPr>
        <w:pStyle w:val="ListParagraph"/>
        <w:numPr>
          <w:ilvl w:val="0"/>
          <w:numId w:val="2"/>
        </w:numPr>
        <w:spacing w:after="80" w:line="276"/>
      </w:pPr>
      <w:r>
        <w:rPr>
          <w:rFonts w:ascii="Calibri" w:cs="Calibri" w:eastAsia="Calibri" w:hAnsi="Calibri"/>
          <w:sz w:val="22"/>
          <w:szCs w:val="22"/>
        </w:rPr>
        <w:t xml:space="preserve">10. Financial Exposure — and Why It Sometimes Says “Unknown”</w:t>
      </w:r>
    </w:p>
    <w:p>
      <w:pPr>
        <w:pStyle w:val="ListParagraph"/>
        <w:numPr>
          <w:ilvl w:val="0"/>
          <w:numId w:val="2"/>
        </w:numPr>
        <w:spacing w:after="80" w:line="276"/>
      </w:pPr>
      <w:r>
        <w:rPr>
          <w:rFonts w:ascii="Calibri" w:cs="Calibri" w:eastAsia="Calibri" w:hAnsi="Calibri"/>
          <w:sz w:val="22"/>
          <w:szCs w:val="22"/>
        </w:rPr>
        <w:t xml:space="preserve">11. Alerts</w:t>
      </w:r>
    </w:p>
    <w:p>
      <w:pPr>
        <w:pStyle w:val="ListParagraph"/>
        <w:numPr>
          <w:ilvl w:val="0"/>
          <w:numId w:val="2"/>
        </w:numPr>
        <w:spacing w:after="80" w:line="276"/>
      </w:pPr>
      <w:r>
        <w:rPr>
          <w:rFonts w:ascii="Calibri" w:cs="Calibri" w:eastAsia="Calibri" w:hAnsi="Calibri"/>
          <w:sz w:val="22"/>
          <w:szCs w:val="22"/>
        </w:rPr>
        <w:t xml:space="preserve">12. Dashboards</w:t>
      </w:r>
    </w:p>
    <w:p>
      <w:pPr>
        <w:pStyle w:val="ListParagraph"/>
        <w:numPr>
          <w:ilvl w:val="0"/>
          <w:numId w:val="2"/>
        </w:numPr>
        <w:spacing w:after="80" w:line="276"/>
      </w:pPr>
      <w:r>
        <w:rPr>
          <w:rFonts w:ascii="Calibri" w:cs="Calibri" w:eastAsia="Calibri" w:hAnsi="Calibri"/>
          <w:sz w:val="22"/>
          <w:szCs w:val="22"/>
        </w:rPr>
        <w:t xml:space="preserve">13. The Event Graph</w:t>
      </w:r>
    </w:p>
    <w:p>
      <w:pPr>
        <w:pStyle w:val="ListParagraph"/>
        <w:numPr>
          <w:ilvl w:val="0"/>
          <w:numId w:val="2"/>
        </w:numPr>
        <w:spacing w:after="80" w:line="276"/>
      </w:pPr>
      <w:r>
        <w:rPr>
          <w:rFonts w:ascii="Calibri" w:cs="Calibri" w:eastAsia="Calibri" w:hAnsi="Calibri"/>
          <w:sz w:val="22"/>
          <w:szCs w:val="22"/>
        </w:rPr>
        <w:t xml:space="preserve">14. Daily Brief</w:t>
      </w:r>
    </w:p>
    <w:p>
      <w:pPr>
        <w:pStyle w:val="ListParagraph"/>
        <w:numPr>
          <w:ilvl w:val="0"/>
          <w:numId w:val="2"/>
        </w:numPr>
        <w:spacing w:after="80" w:line="276"/>
      </w:pPr>
      <w:r>
        <w:rPr>
          <w:rFonts w:ascii="Calibri" w:cs="Calibri" w:eastAsia="Calibri" w:hAnsi="Calibri"/>
          <w:sz w:val="22"/>
          <w:szCs w:val="22"/>
        </w:rPr>
        <w:t xml:space="preserve">15. Ask My Jobs</w:t>
      </w:r>
    </w:p>
    <w:p>
      <w:pPr>
        <w:pStyle w:val="ListParagraph"/>
        <w:numPr>
          <w:ilvl w:val="0"/>
          <w:numId w:val="2"/>
        </w:numPr>
        <w:spacing w:after="80" w:line="276"/>
      </w:pPr>
      <w:r>
        <w:rPr>
          <w:rFonts w:ascii="Calibri" w:cs="Calibri" w:eastAsia="Calibri" w:hAnsi="Calibri"/>
          <w:sz w:val="22"/>
          <w:szCs w:val="22"/>
        </w:rPr>
        <w:t xml:space="preserve">16. Free Job Profit Leak Scan</w:t>
      </w:r>
    </w:p>
    <w:p>
      <w:pPr>
        <w:pStyle w:val="ListParagraph"/>
        <w:numPr>
          <w:ilvl w:val="0"/>
          <w:numId w:val="2"/>
        </w:numPr>
        <w:spacing w:after="80" w:line="276"/>
      </w:pPr>
      <w:r>
        <w:rPr>
          <w:rFonts w:ascii="Calibri" w:cs="Calibri" w:eastAsia="Calibri" w:hAnsi="Calibri"/>
          <w:sz w:val="22"/>
          <w:szCs w:val="22"/>
        </w:rPr>
        <w:t xml:space="preserve">17. Settings</w:t>
      </w:r>
    </w:p>
    <w:p>
      <w:pPr>
        <w:pStyle w:val="ListParagraph"/>
        <w:numPr>
          <w:ilvl w:val="0"/>
          <w:numId w:val="2"/>
        </w:numPr>
        <w:spacing w:after="80" w:line="276"/>
      </w:pPr>
      <w:r>
        <w:rPr>
          <w:rFonts w:ascii="Calibri" w:cs="Calibri" w:eastAsia="Calibri" w:hAnsi="Calibri"/>
          <w:sz w:val="22"/>
          <w:szCs w:val="22"/>
        </w:rPr>
        <w:t xml:space="preserve">18. Quick Reference</w:t>
      </w:r>
    </w:p>
    <w:p>
      <w:pPr>
        <w:pStyle w:val="ListParagraph"/>
        <w:numPr>
          <w:ilvl w:val="0"/>
          <w:numId w:val="2"/>
        </w:numPr>
        <w:spacing w:after="80" w:line="276"/>
      </w:pPr>
      <w:r>
        <w:rPr>
          <w:rFonts w:ascii="Calibri" w:cs="Calibri" w:eastAsia="Calibri" w:hAnsi="Calibri"/>
          <w:sz w:val="22"/>
          <w:szCs w:val="22"/>
        </w:rPr>
        <w:t xml:space="preserve">19. Known Limitations of This Build</w:t>
      </w:r>
    </w:p>
    <w:p>
      <w:r>
        <w:br w:type="page"/>
      </w:r>
    </w:p>
    <w:p>
      <w:pPr>
        <w:pStyle w:val="Heading1"/>
        <w:pBdr>
          <w:bottom w:val="single" w:color="C1502E" w:sz="10" w:space="6"/>
        </w:pBdr>
        <w:spacing w:after="160" w:before="420"/>
      </w:pPr>
      <w:r>
        <w:t xml:space="preserve">1. What This Is, in Plain Terms</w:t>
      </w:r>
    </w:p>
    <w:p>
      <w:pPr>
        <w:spacing w:after="160" w:line="288"/>
      </w:pPr>
      <w:r>
        <w:rPr>
          <w:rFonts w:ascii="Calibri" w:cs="Calibri" w:eastAsia="Calibri" w:hAnsi="Calibri"/>
          <w:b w:val="false"/>
          <w:bCs w:val="false"/>
          <w:i w:val="false"/>
          <w:iCs w:val="false"/>
          <w:sz w:val="22"/>
          <w:szCs w:val="22"/>
        </w:rPr>
        <w:t xml:space="preserve">Foresite watches the information your team already produces on a job — voice notes, texts, photos, documents — and tells you which of it is actually worth your attention.</w:t>
      </w:r>
    </w:p>
    <w:p>
      <w:pPr>
        <w:spacing w:after="160" w:line="288"/>
      </w:pPr>
      <w:r>
        <w:rPr>
          <w:rFonts w:ascii="Calibri" w:cs="Calibri" w:eastAsia="Calibri" w:hAnsi="Calibri"/>
          <w:b w:val="false"/>
          <w:bCs w:val="false"/>
          <w:i w:val="false"/>
          <w:iCs w:val="false"/>
          <w:sz w:val="22"/>
          <w:szCs w:val="22"/>
        </w:rPr>
        <w:t xml:space="preserve">Think of it as hiring an extremely attentive operations manager who reads every message that comes in from every job, every day, and only interrupts you when something could genuinely cost you money or time.</w:t>
      </w:r>
    </w:p>
    <w:tbl>
      <w:tblPr>
        <w:tblW w:type="pct" w:w="100%"/>
        <w:tblBorders>
          <w:top w:val="single" w:color="C1502E" w:sz="4"/>
          <w:left w:val="single" w:color="C1502E" w:sz="24"/>
          <w:bottom w:val="single" w:color="C1502E" w:sz="4"/>
          <w:right w:val="single" w:color="C1502E" w:sz="4"/>
          <w:insideH w:val="none" w:color="FFFFFF" w:sz="0"/>
          <w:insideV w:val="none" w:color="FFFFFF" w:sz="0"/>
        </w:tblBorders>
      </w:tblPr>
      <w:tblGrid>
        <w:gridCol w:w="100"/>
      </w:tblGrid>
      <w:tr>
        <w:tc>
          <w:tcPr>
            <w:shd w:fill="EDEFF4" w:color="auto" w:val="clear"/>
            <w:tcMar>
              <w:top w:type="dxa" w:w="140"/>
              <w:left w:type="dxa" w:w="220"/>
              <w:bottom w:type="dxa" w:w="140"/>
              <w:right w:type="dxa" w:w="220"/>
            </w:tcMar>
          </w:tcPr>
          <w:p>
            <w:pPr>
              <w:spacing w:after="60"/>
            </w:pPr>
            <w:r>
              <w:rPr>
                <w:rFonts w:ascii="Calibri" w:cs="Calibri" w:eastAsia="Calibri" w:hAnsi="Calibri"/>
                <w:b/>
                <w:bCs/>
                <w:color w:val="C1502E"/>
                <w:sz w:val="19"/>
                <w:szCs w:val="19"/>
              </w:rPr>
              <w:t xml:space="preserve">The question this product answers</w:t>
            </w:r>
          </w:p>
          <w:p>
            <w:r>
              <w:rPr>
                <w:rFonts w:ascii="Calibri" w:cs="Calibri" w:eastAsia="Calibri" w:hAnsi="Calibri"/>
                <w:sz w:val="21"/>
                <w:szCs w:val="21"/>
              </w:rPr>
              <w:t xml:space="preserve">What is happening in the field that could cost me money or time, and what should I do about it right now?</w:t>
            </w:r>
          </w:p>
        </w:tc>
      </w:tr>
    </w:tbl>
    <w:p>
      <w:pPr>
        <w:spacing w:after="120"/>
      </w:pPr>
    </w:p>
    <w:p>
      <w:pPr>
        <w:spacing w:after="160" w:line="288"/>
      </w:pPr>
      <w:r>
        <w:rPr>
          <w:rFonts w:ascii="Calibri" w:cs="Calibri" w:eastAsia="Calibri" w:hAnsi="Calibri"/>
          <w:b w:val="false"/>
          <w:bCs w:val="false"/>
          <w:i w:val="false"/>
          <w:iCs w:val="false"/>
          <w:sz w:val="22"/>
          <w:szCs w:val="22"/>
        </w:rPr>
        <w:t xml:space="preserve">It does not replace your scheduling software, your accounting system, or your project management platform. It sits above them, watching the same information flow.</w:t>
      </w:r>
    </w:p>
    <w:p>
      <w:pPr>
        <w:pStyle w:val="Heading2"/>
        <w:spacing w:after="120" w:before="300"/>
      </w:pPr>
      <w:r>
        <w:t xml:space="preserve">Who it's for</w:t>
      </w:r>
    </w:p>
    <w:p>
      <w:pPr>
        <w:spacing w:after="160" w:line="288"/>
      </w:pPr>
      <w:r>
        <w:rPr>
          <w:rFonts w:ascii="Calibri" w:cs="Calibri" w:eastAsia="Calibri" w:hAnsi="Calibri"/>
          <w:b w:val="false"/>
          <w:bCs w:val="false"/>
          <w:i w:val="false"/>
          <w:iCs w:val="false"/>
          <w:sz w:val="22"/>
          <w:szCs w:val="22"/>
        </w:rPr>
        <w:t xml:space="preserve">Small-to-medium general contractors and remodeling companies running roughly 5-30 active jobs at once, where the owner or a project manager is still hands-on but can no longer personally track every job every day.</w:t>
      </w:r>
    </w:p>
    <w:p>
      <w:pPr>
        <w:pStyle w:val="Heading2"/>
        <w:spacing w:after="120" w:before="300"/>
      </w:pPr>
      <w:r>
        <w:t xml:space="preserve">What it is not</w:t>
      </w:r>
    </w:p>
    <w:p>
      <w:pPr>
        <w:pStyle w:val="ListParagraph"/>
        <w:numPr>
          <w:ilvl w:val="0"/>
          <w:numId w:val="2"/>
        </w:numPr>
        <w:spacing w:after="80" w:line="276"/>
      </w:pPr>
      <w:r>
        <w:rPr>
          <w:rFonts w:ascii="Calibri" w:cs="Calibri" w:eastAsia="Calibri" w:hAnsi="Calibri"/>
          <w:sz w:val="22"/>
          <w:szCs w:val="22"/>
        </w:rPr>
        <w:t xml:space="preserve">Not a replacement for Procore, Buildertrend, or your existing scheduling/accounting tools.</w:t>
      </w:r>
    </w:p>
    <w:p>
      <w:pPr>
        <w:pStyle w:val="ListParagraph"/>
        <w:numPr>
          <w:ilvl w:val="0"/>
          <w:numId w:val="2"/>
        </w:numPr>
        <w:spacing w:after="80" w:line="276"/>
      </w:pPr>
      <w:r>
        <w:rPr>
          <w:rFonts w:ascii="Calibri" w:cs="Calibri" w:eastAsia="Calibri" w:hAnsi="Calibri"/>
          <w:sz w:val="22"/>
          <w:szCs w:val="22"/>
        </w:rPr>
        <w:t xml:space="preserve">Not a change-order issuing system — it flags things that could become change orders and lets you handle them.</w:t>
      </w:r>
    </w:p>
    <w:p>
      <w:pPr>
        <w:pStyle w:val="ListParagraph"/>
        <w:numPr>
          <w:ilvl w:val="0"/>
          <w:numId w:val="2"/>
        </w:numPr>
        <w:spacing w:after="80" w:line="276"/>
      </w:pPr>
      <w:r>
        <w:rPr>
          <w:rFonts w:ascii="Calibri" w:cs="Calibri" w:eastAsia="Calibri" w:hAnsi="Calibri"/>
          <w:sz w:val="22"/>
          <w:szCs w:val="22"/>
        </w:rPr>
        <w:t xml:space="preserve">Not a legal or contractual authority — it never asserts blame, entitlement, or legal conclusions.</w:t>
      </w:r>
    </w:p>
    <w:p>
      <w:pPr>
        <w:pStyle w:val="ListParagraph"/>
        <w:numPr>
          <w:ilvl w:val="0"/>
          <w:numId w:val="2"/>
        </w:numPr>
        <w:spacing w:after="80" w:line="276"/>
      </w:pPr>
      <w:r>
        <w:rPr>
          <w:rFonts w:ascii="Calibri" w:cs="Calibri" w:eastAsia="Calibri" w:hAnsi="Calibri"/>
          <w:sz w:val="22"/>
          <w:szCs w:val="22"/>
        </w:rPr>
        <w:t xml:space="preserve">Not fully autonomous — a person still reviews and approves every consequential action.</w:t>
      </w:r>
    </w:p>
    <w:p>
      <w:pPr>
        <w:pStyle w:val="Heading1"/>
        <w:pBdr>
          <w:bottom w:val="single" w:color="C1502E" w:sz="10" w:space="6"/>
        </w:pBdr>
        <w:spacing w:after="160" w:before="420"/>
      </w:pPr>
      <w:r>
        <w:t xml:space="preserve">2. Who Uses What — the Contractor vs. the Field Crew</w:t>
      </w:r>
    </w:p>
    <w:p>
      <w:pPr>
        <w:spacing w:after="160" w:line="288"/>
      </w:pPr>
      <w:r>
        <w:rPr>
          <w:rFonts w:ascii="Calibri" w:cs="Calibri" w:eastAsia="Calibri" w:hAnsi="Calibri"/>
          <w:b w:val="false"/>
          <w:bCs w:val="false"/>
          <w:i w:val="false"/>
          <w:iCs w:val="false"/>
          <w:sz w:val="22"/>
          <w:szCs w:val="22"/>
        </w:rPr>
        <w:t xml:space="preserve">Foresite has exactly one setup step and exactly one daily-use step, done by two different people:</w:t>
      </w:r>
    </w:p>
    <w:p>
      <w:pPr>
        <w:pStyle w:val="Heading3"/>
        <w:spacing w:after="90" w:before="220"/>
      </w:pPr>
      <w:r>
        <w:t xml:space="preserve">The one-time setup — done by the owner, office manager, or admin</w:t>
      </w:r>
    </w:p>
    <w:p>
      <w:pPr>
        <w:spacing w:after="160" w:line="288"/>
      </w:pPr>
      <w:r>
        <w:rPr>
          <w:rFonts w:ascii="Calibri" w:cs="Calibri" w:eastAsia="Calibri" w:hAnsi="Calibri"/>
          <w:b w:val="false"/>
          <w:bCs w:val="false"/>
          <w:i w:val="false"/>
          <w:iCs w:val="false"/>
          <w:sz w:val="22"/>
          <w:szCs w:val="22"/>
        </w:rPr>
        <w:t xml:space="preserve">The company profile and each new project's basic facts (client, address, contract value, expected completion) are entered once, by whoever runs the office. This is the “Tell us about your company” screen. A field crew member never needs to open it.</w:t>
      </w:r>
    </w:p>
    <w:p>
      <w:pPr>
        <w:pStyle w:val="Heading3"/>
        <w:spacing w:after="90" w:before="220"/>
      </w:pPr>
      <w:r>
        <w:t xml:space="preserve">The daily use — done by whoever is actually on the jobsite</w:t>
      </w:r>
    </w:p>
    <w:p>
      <w:pPr>
        <w:spacing w:after="160" w:line="288"/>
      </w:pPr>
      <w:r>
        <w:rPr>
          <w:rFonts w:ascii="Calibri" w:cs="Calibri" w:eastAsia="Calibri" w:hAnsi="Calibri"/>
          <w:b w:val="false"/>
          <w:bCs w:val="false"/>
          <w:i w:val="false"/>
          <w:iCs w:val="false"/>
          <w:sz w:val="22"/>
          <w:szCs w:val="22"/>
        </w:rPr>
        <w:t xml:space="preserve">The Intelligence Inbox is the only screen a field worker ever needs to touch. It asks one question — “What's happening?” — and accepts a voice note, a quick typed line, a photo, or a document. No dates, no dropdowns to hunt through, no company information to re-enter.</w:t>
      </w:r>
    </w:p>
    <w:tbl>
      <w:tblPr>
        <w:tblW w:type="pct" w:w="100%"/>
        <w:tblBorders>
          <w:top w:val="single" w:color="12203A" w:sz="4"/>
          <w:left w:val="single" w:color="12203A" w:sz="24"/>
          <w:bottom w:val="single" w:color="12203A" w:sz="4"/>
          <w:right w:val="single" w:color="12203A" w:sz="4"/>
          <w:insideH w:val="none" w:color="FFFFFF" w:sz="0"/>
          <w:insideV w:val="none" w:color="FFFFFF" w:sz="0"/>
        </w:tblBorders>
      </w:tblPr>
      <w:tblGrid>
        <w:gridCol w:w="100"/>
      </w:tblGrid>
      <w:tr>
        <w:tc>
          <w:tcPr>
            <w:shd w:fill="EDEFF4" w:color="auto" w:val="clear"/>
            <w:tcMar>
              <w:top w:type="dxa" w:w="140"/>
              <w:left w:type="dxa" w:w="220"/>
              <w:bottom w:type="dxa" w:w="140"/>
              <w:right w:type="dxa" w:w="220"/>
            </w:tcMar>
          </w:tcPr>
          <w:p>
            <w:pPr>
              <w:spacing w:after="60"/>
            </w:pPr>
            <w:r>
              <w:rPr>
                <w:rFonts w:ascii="Calibri" w:cs="Calibri" w:eastAsia="Calibri" w:hAnsi="Calibri"/>
                <w:b/>
                <w:bCs/>
                <w:color w:val="12203A"/>
                <w:sz w:val="19"/>
                <w:szCs w:val="19"/>
              </w:rPr>
              <w:t xml:space="preserve">If you remember one thing from this manual</w:t>
            </w:r>
          </w:p>
          <w:p>
            <w:r>
              <w:rPr>
                <w:rFonts w:ascii="Calibri" w:cs="Calibri" w:eastAsia="Calibri" w:hAnsi="Calibri"/>
                <w:sz w:val="21"/>
                <w:szCs w:val="21"/>
              </w:rPr>
              <w:t xml:space="preserve">Setup is the office's job, done once. Reporting from the field is the crew's job, done in seconds, every time.</w:t>
            </w:r>
          </w:p>
        </w:tc>
      </w:tr>
    </w:tbl>
    <w:p>
      <w:pPr>
        <w:pStyle w:val="Heading1"/>
        <w:pBdr>
          <w:bottom w:val="single" w:color="C1502E" w:sz="10" w:space="6"/>
        </w:pBdr>
        <w:spacing w:after="160" w:before="420"/>
      </w:pPr>
      <w:r>
        <w:t xml:space="preserve">3. How It Works: The Core Loop</w:t>
      </w:r>
    </w:p>
    <w:p>
      <w:pPr>
        <w:spacing w:after="160" w:line="288"/>
      </w:pPr>
      <w:r>
        <w:rPr>
          <w:rFonts w:ascii="Calibri" w:cs="Calibri" w:eastAsia="Calibri" w:hAnsi="Calibri"/>
          <w:b w:val="false"/>
          <w:bCs w:val="false"/>
          <w:i w:val="false"/>
          <w:iCs w:val="false"/>
          <w:sz w:val="22"/>
          <w:szCs w:val="22"/>
        </w:rPr>
        <w:t xml:space="preserve">Everything in the product exists to serve one repeating cycle.</w:t>
      </w:r>
    </w:p>
    <w:p>
      <w:pPr>
        <w:pStyle w:val="Heading3"/>
        <w:spacing w:after="90" w:before="220"/>
      </w:pPr>
      <w:r>
        <w:t xml:space="preserve">CAPTURE → EXTRACT → DETECT → SCORE → ALERT → ACT → MEASURE</w:t>
      </w:r>
    </w:p>
    <w:p>
      <w:pPr>
        <w:pStyle w:val="ListParagraph"/>
        <w:numPr>
          <w:ilvl w:val="0"/>
          <w:numId w:val="3"/>
        </w:numPr>
        <w:spacing w:after="80" w:line="276"/>
      </w:pPr>
      <w:r>
        <w:rPr>
          <w:rFonts w:ascii="Calibri" w:cs="Calibri" w:eastAsia="Calibri" w:hAnsi="Calibri"/>
          <w:sz w:val="22"/>
          <w:szCs w:val="22"/>
        </w:rPr>
        <w:t xml:space="preserve">Capture — a field update comes in as a voice note, text, photo, or document.</w:t>
      </w:r>
    </w:p>
    <w:p>
      <w:pPr>
        <w:pStyle w:val="ListParagraph"/>
        <w:numPr>
          <w:ilvl w:val="0"/>
          <w:numId w:val="3"/>
        </w:numPr>
        <w:spacing w:after="80" w:line="276"/>
      </w:pPr>
      <w:r>
        <w:rPr>
          <w:rFonts w:ascii="Calibri" w:cs="Calibri" w:eastAsia="Calibri" w:hAnsi="Calibri"/>
          <w:sz w:val="22"/>
          <w:szCs w:val="22"/>
        </w:rPr>
        <w:t xml:space="preserve">Extract — it's converted into structured events: what type of thing happened, who and what is involved, and how confident the system is.</w:t>
      </w:r>
    </w:p>
    <w:p>
      <w:pPr>
        <w:pStyle w:val="ListParagraph"/>
        <w:numPr>
          <w:ilvl w:val="0"/>
          <w:numId w:val="3"/>
        </w:numPr>
        <w:spacing w:after="80" w:line="276"/>
      </w:pPr>
      <w:r>
        <w:rPr>
          <w:rFonts w:ascii="Calibri" w:cs="Calibri" w:eastAsia="Calibri" w:hAnsi="Calibri"/>
          <w:sz w:val="22"/>
          <w:szCs w:val="22"/>
        </w:rPr>
        <w:t xml:space="preserve">Detect — the event is checked for meaningful patterns: is it connected to other events, does it repeat, does it cascade into other problems?</w:t>
      </w:r>
    </w:p>
    <w:p>
      <w:pPr>
        <w:pStyle w:val="ListParagraph"/>
        <w:numPr>
          <w:ilvl w:val="0"/>
          <w:numId w:val="3"/>
        </w:numPr>
        <w:spacing w:after="80" w:line="276"/>
      </w:pPr>
      <w:r>
        <w:rPr>
          <w:rFonts w:ascii="Calibri" w:cs="Calibri" w:eastAsia="Calibri" w:hAnsi="Calibri"/>
          <w:sz w:val="22"/>
          <w:szCs w:val="22"/>
        </w:rPr>
        <w:t xml:space="preserve">Score — a deterministic formula (not a guess) turns likelihood, impact, and urgency into a severity rating.</w:t>
      </w:r>
    </w:p>
    <w:p>
      <w:pPr>
        <w:pStyle w:val="ListParagraph"/>
        <w:numPr>
          <w:ilvl w:val="0"/>
          <w:numId w:val="3"/>
        </w:numPr>
        <w:spacing w:after="80" w:line="276"/>
      </w:pPr>
      <w:r>
        <w:rPr>
          <w:rFonts w:ascii="Calibri" w:cs="Calibri" w:eastAsia="Calibri" w:hAnsi="Calibri"/>
          <w:sz w:val="22"/>
          <w:szCs w:val="22"/>
        </w:rPr>
        <w:t xml:space="preserve">Alert — if the event clears a meaningful-impact threshold, it becomes an alert with a plain-language explanation.</w:t>
      </w:r>
    </w:p>
    <w:p>
      <w:pPr>
        <w:pStyle w:val="ListParagraph"/>
        <w:numPr>
          <w:ilvl w:val="0"/>
          <w:numId w:val="3"/>
        </w:numPr>
        <w:spacing w:after="80" w:line="276"/>
      </w:pPr>
      <w:r>
        <w:rPr>
          <w:rFonts w:ascii="Calibri" w:cs="Calibri" w:eastAsia="Calibri" w:hAnsi="Calibri"/>
          <w:sz w:val="22"/>
          <w:szCs w:val="22"/>
        </w:rPr>
        <w:t xml:space="preserve">Act — you acknowledge it, assign an action, or dismiss it.</w:t>
      </w:r>
    </w:p>
    <w:p>
      <w:pPr>
        <w:pStyle w:val="ListParagraph"/>
        <w:numPr>
          <w:ilvl w:val="0"/>
          <w:numId w:val="3"/>
        </w:numPr>
        <w:spacing w:after="80" w:line="276"/>
      </w:pPr>
      <w:r>
        <w:rPr>
          <w:rFonts w:ascii="Calibri" w:cs="Calibri" w:eastAsia="Calibri" w:hAnsi="Calibri"/>
          <w:sz w:val="22"/>
          <w:szCs w:val="22"/>
        </w:rPr>
        <w:t xml:space="preserve">Measure — once resolved, you log what actually happened, building a record of verified value protected or recovered.</w:t>
      </w:r>
    </w:p>
    <w:p>
      <w:pPr>
        <w:pStyle w:val="Heading1"/>
        <w:pBdr>
          <w:bottom w:val="single" w:color="C1502E" w:sz="10" w:space="6"/>
        </w:pBdr>
        <w:spacing w:after="160" w:before="420"/>
      </w:pPr>
      <w:r>
        <w:t xml:space="preserve">4. Getting Started (the One-Time Company Setup)</w:t>
      </w:r>
    </w:p>
    <w:p>
      <w:pPr>
        <w:spacing w:after="160" w:line="288"/>
      </w:pPr>
      <w:r>
        <w:rPr>
          <w:rFonts w:ascii="Calibri" w:cs="Calibri" w:eastAsia="Calibri" w:hAnsi="Calibri"/>
          <w:b w:val="false"/>
          <w:bCs w:val="false"/>
          <w:i w:val="false"/>
          <w:iCs w:val="false"/>
          <w:sz w:val="22"/>
          <w:szCs w:val="22"/>
        </w:rPr>
        <w:t xml:space="preserve">Setup is two short screens — nothing more — designed to fit on one screen with no scrolling, and both screens are done once by the office, not the field.</w:t>
      </w:r>
    </w:p>
    <w:p>
      <w:pPr>
        <w:pStyle w:val="Heading2"/>
        <w:spacing w:after="120" w:before="300"/>
      </w:pPr>
      <w:r>
        <w:t xml:space="preserve">Step 1 — the company</w:t>
      </w:r>
    </w:p>
    <w:p>
      <w:pPr>
        <w:pStyle w:val="ListParagraph"/>
        <w:numPr>
          <w:ilvl w:val="0"/>
          <w:numId w:val="2"/>
        </w:numPr>
        <w:spacing w:after="80" w:line="276"/>
      </w:pPr>
      <w:r>
        <w:rPr>
          <w:rFonts w:ascii="Calibri" w:cs="Calibri" w:eastAsia="Calibri" w:hAnsi="Calibri"/>
          <w:sz w:val="22"/>
          <w:szCs w:val="22"/>
        </w:rPr>
        <w:t xml:space="preserve">Company name, contractor type, roughly how many active jobs, and an approximate average project size.</w:t>
      </w:r>
    </w:p>
    <w:p>
      <w:pPr>
        <w:pStyle w:val="Heading2"/>
        <w:spacing w:after="120" w:before="300"/>
      </w:pPr>
      <w:r>
        <w:t xml:space="preserve">Step 2 — the first project</w:t>
      </w:r>
    </w:p>
    <w:p>
      <w:pPr>
        <w:pStyle w:val="ListParagraph"/>
        <w:numPr>
          <w:ilvl w:val="0"/>
          <w:numId w:val="2"/>
        </w:numPr>
        <w:spacing w:after="80" w:line="276"/>
      </w:pPr>
      <w:r>
        <w:rPr>
          <w:rFonts w:ascii="Calibri" w:cs="Calibri" w:eastAsia="Calibri" w:hAnsi="Calibri"/>
          <w:sz w:val="22"/>
          <w:szCs w:val="22"/>
        </w:rPr>
        <w:t xml:space="preserve">Project name, client, address, contract value, project manager.</w:t>
      </w:r>
    </w:p>
    <w:p>
      <w:pPr>
        <w:pStyle w:val="ListParagraph"/>
        <w:numPr>
          <w:ilvl w:val="0"/>
          <w:numId w:val="2"/>
        </w:numPr>
        <w:spacing w:after="80" w:line="276"/>
      </w:pPr>
      <w:r>
        <w:rPr>
          <w:rFonts w:ascii="Calibri" w:cs="Calibri" w:eastAsia="Calibri" w:hAnsi="Calibri"/>
          <w:sz w:val="22"/>
          <w:szCs w:val="22"/>
        </w:rPr>
        <w:t xml:space="preserve">Expected completion — pick a quick option (2 weeks / 1 month / 2 months / 3+ months / not sure yet) instead of hunting through a calendar. An exact date is still available if you want one.</w:t>
      </w:r>
    </w:p>
    <w:tbl>
      <w:tblPr>
        <w:tblW w:type="pct" w:w="100%"/>
        <w:tblBorders>
          <w:top w:val="single" w:color="12203A" w:sz="4"/>
          <w:left w:val="single" w:color="12203A" w:sz="24"/>
          <w:bottom w:val="single" w:color="12203A" w:sz="4"/>
          <w:right w:val="single" w:color="12203A" w:sz="4"/>
          <w:insideH w:val="none" w:color="FFFFFF" w:sz="0"/>
          <w:insideV w:val="none" w:color="FFFFFF" w:sz="0"/>
        </w:tblBorders>
      </w:tblPr>
      <w:tblGrid>
        <w:gridCol w:w="100"/>
      </w:tblGrid>
      <w:tr>
        <w:tc>
          <w:tcPr>
            <w:shd w:fill="EDEFF4" w:color="auto" w:val="clear"/>
            <w:tcMar>
              <w:top w:type="dxa" w:w="140"/>
              <w:left w:type="dxa" w:w="220"/>
              <w:bottom w:type="dxa" w:w="140"/>
              <w:right w:type="dxa" w:w="220"/>
            </w:tcMar>
          </w:tcPr>
          <w:p>
            <w:pPr>
              <w:spacing w:after="60"/>
            </w:pPr>
            <w:r>
              <w:rPr>
                <w:rFonts w:ascii="Calibri" w:cs="Calibri" w:eastAsia="Calibri" w:hAnsi="Calibri"/>
                <w:b/>
                <w:bCs/>
                <w:color w:val="12203A"/>
                <w:sz w:val="19"/>
                <w:szCs w:val="19"/>
              </w:rPr>
              <w:t xml:space="preserve">Nothing is lost if you close the tab midway</w:t>
            </w:r>
          </w:p>
          <w:p>
            <w:r>
              <w:rPr>
                <w:rFonts w:ascii="Calibri" w:cs="Calibri" w:eastAsia="Calibri" w:hAnsi="Calibri"/>
                <w:sz w:val="21"/>
                <w:szCs w:val="21"/>
              </w:rPr>
              <w:t xml:space="preserve">Every field autosaves as you type, on both steps. Come back later and everything you already entered is still there — you're never starting over.</w:t>
            </w:r>
          </w:p>
        </w:tc>
      </w:tr>
    </w:tbl>
    <w:p>
      <w:pPr>
        <w:spacing w:after="120"/>
      </w:pPr>
    </w:p>
    <w:p>
      <w:pPr>
        <w:spacing w:after="160" w:line="288"/>
      </w:pPr>
      <w:r>
        <w:rPr>
          <w:rFonts w:ascii="Calibri" w:cs="Calibri" w:eastAsia="Calibri" w:hAnsi="Calibri"/>
          <w:b w:val="false"/>
          <w:bCs w:val="false"/>
          <w:i w:val="false"/>
          <w:iCs w:val="false"/>
          <w:sz w:val="22"/>
          <w:szCs w:val="22"/>
        </w:rPr>
        <w:t xml:space="preserve">Prefer to explore before entering real data? “Load demo company &amp; projects” seeds three realistic projects with live alerts already generated.</w:t>
      </w:r>
    </w:p>
    <w:p>
      <w:pPr>
        <w:pStyle w:val="Heading1"/>
        <w:pBdr>
          <w:bottom w:val="single" w:color="C1502E" w:sz="10" w:space="6"/>
        </w:pBdr>
        <w:spacing w:after="160" w:before="420"/>
      </w:pPr>
      <w:r>
        <w:t xml:space="preserve">5. The Intelligence Inbox — What the Field Actually Uses</w:t>
      </w:r>
    </w:p>
    <w:p>
      <w:pPr>
        <w:spacing w:after="160" w:line="288"/>
      </w:pPr>
      <w:r>
        <w:rPr>
          <w:rFonts w:ascii="Calibri" w:cs="Calibri" w:eastAsia="Calibri" w:hAnsi="Calibri"/>
          <w:b w:val="false"/>
          <w:bCs w:val="false"/>
          <w:i w:val="false"/>
          <w:iCs w:val="false"/>
          <w:sz w:val="22"/>
          <w:szCs w:val="22"/>
        </w:rPr>
        <w:t xml:space="preserve">This is the only screen a field worker needs to learn, and it asks nothing more than “What's happening?” Four ways to answer:</w:t>
      </w:r>
    </w:p>
    <w:p>
      <w:pPr>
        <w:pStyle w:val="Heading3"/>
        <w:spacing w:after="90" w:before="220"/>
      </w:pPr>
      <w:r>
        <w:t xml:space="preserve">Voice</w:t>
      </w:r>
    </w:p>
    <w:p>
      <w:pPr>
        <w:spacing w:after="160" w:line="288"/>
      </w:pPr>
      <w:r>
        <w:rPr>
          <w:rFonts w:ascii="Calibri" w:cs="Calibri" w:eastAsia="Calibri" w:hAnsi="Calibri"/>
          <w:b w:val="false"/>
          <w:bCs w:val="false"/>
          <w:i w:val="false"/>
          <w:iCs w:val="false"/>
          <w:sz w:val="22"/>
          <w:szCs w:val="22"/>
        </w:rPr>
        <w:t xml:space="preserve">Press the microphone button and speak. It's real speech-to-text, not a simulation — it works in whichever of the six supported languages you've selected.</w:t>
      </w:r>
    </w:p>
    <w:p>
      <w:pPr>
        <w:pStyle w:val="Heading3"/>
        <w:spacing w:after="90" w:before="220"/>
      </w:pPr>
      <w:r>
        <w:t xml:space="preserve">Text</w:t>
      </w:r>
    </w:p>
    <w:p>
      <w:pPr>
        <w:spacing w:after="160" w:line="288"/>
      </w:pPr>
      <w:r>
        <w:rPr>
          <w:rFonts w:ascii="Calibri" w:cs="Calibri" w:eastAsia="Calibri" w:hAnsi="Calibri"/>
          <w:b w:val="false"/>
          <w:bCs w:val="false"/>
          <w:i w:val="false"/>
          <w:iCs w:val="false"/>
          <w:sz w:val="22"/>
          <w:szCs w:val="22"/>
        </w:rPr>
        <w:t xml:space="preserve">A quick typed line — fastest when you're already looking at your phone and don't want to talk out loud.</w:t>
      </w:r>
    </w:p>
    <w:p>
      <w:pPr>
        <w:pStyle w:val="Heading3"/>
        <w:spacing w:after="90" w:before="220"/>
      </w:pPr>
      <w:r>
        <w:t xml:space="preserve">Photo</w:t>
      </w:r>
    </w:p>
    <w:p>
      <w:pPr>
        <w:spacing w:after="160" w:line="288"/>
      </w:pPr>
      <w:r>
        <w:rPr>
          <w:rFonts w:ascii="Calibri" w:cs="Calibri" w:eastAsia="Calibri" w:hAnsi="Calibri"/>
          <w:b w:val="false"/>
          <w:bCs w:val="false"/>
          <w:i w:val="false"/>
          <w:iCs w:val="false"/>
          <w:sz w:val="22"/>
          <w:szCs w:val="22"/>
        </w:rPr>
        <w:t xml:space="preserve">Upload a jobsite photo. The system describes possible issues conservatively (“possible surface cracking, review recommended”) and never asserts a structural, safety, or legal conclusion from an image alone.</w:t>
      </w:r>
    </w:p>
    <w:p>
      <w:pPr>
        <w:pStyle w:val="Heading3"/>
        <w:spacing w:after="90" w:before="220"/>
      </w:pPr>
      <w:r>
        <w:t xml:space="preserve">Document</w:t>
      </w:r>
    </w:p>
    <w:p>
      <w:pPr>
        <w:spacing w:after="160" w:line="288"/>
      </w:pPr>
      <w:r>
        <w:rPr>
          <w:rFonts w:ascii="Calibri" w:cs="Calibri" w:eastAsia="Calibri" w:hAnsi="Calibri"/>
          <w:b w:val="false"/>
          <w:bCs w:val="false"/>
          <w:i w:val="false"/>
          <w:iCs w:val="false"/>
          <w:sz w:val="22"/>
          <w:szCs w:val="22"/>
        </w:rPr>
        <w:t xml:space="preserve">Upload a PDF — a supplier notice, an invoice, a schedule — and the system reads it directly.</w:t>
      </w:r>
    </w:p>
    <w:p>
      <w:pPr>
        <w:pStyle w:val="Heading2"/>
        <w:spacing w:after="120" w:before="300"/>
      </w:pPr>
      <w:r>
        <w:t xml:space="preserve">Which project does this go to?</w:t>
      </w:r>
    </w:p>
    <w:p>
      <w:pPr>
        <w:spacing w:after="160" w:line="288"/>
      </w:pPr>
      <w:r>
        <w:rPr>
          <w:rFonts w:ascii="Calibri" w:cs="Calibri" w:eastAsia="Calibri" w:hAnsi="Calibri"/>
          <w:b w:val="false"/>
          <w:bCs w:val="false"/>
          <w:i w:val="false"/>
          <w:iCs w:val="false"/>
          <w:sz w:val="22"/>
          <w:szCs w:val="22"/>
        </w:rPr>
        <w:t xml:space="preserve">With only one active project, everything is assigned to it automatically — nothing to pick. With more than one, the system tries to match the text against project names, clients, and addresses, and only asks you to choose when it genuinely can't tell — it never silently guesses wrong.</w:t>
      </w:r>
    </w:p>
    <w:p>
      <w:pPr>
        <w:pStyle w:val="Heading1"/>
        <w:pBdr>
          <w:bottom w:val="single" w:color="C1502E" w:sz="10" w:space="6"/>
        </w:pBdr>
        <w:spacing w:after="160" w:before="420"/>
      </w:pPr>
      <w:r>
        <w:t xml:space="preserve">6. Speaking Instead of Typing</w:t>
      </w:r>
    </w:p>
    <w:p>
      <w:pPr>
        <w:spacing w:after="160" w:line="288"/>
      </w:pPr>
      <w:r>
        <w:rPr>
          <w:rFonts w:ascii="Calibri" w:cs="Calibri" w:eastAsia="Calibri" w:hAnsi="Calibri"/>
          <w:b w:val="false"/>
          <w:bCs w:val="false"/>
          <w:i w:val="false"/>
          <w:iCs w:val="false"/>
          <w:sz w:val="22"/>
          <w:szCs w:val="22"/>
        </w:rPr>
        <w:t xml:space="preserve">Every free-text field in Foresite — not just the Inbox — has a microphone button next to it: field updates, photo captions, the free scan box, Ask My Jobs questions, and every company/project field during setup. Tap it, speak, and the transcript is inserted into that field.</w:t>
      </w:r>
    </w:p>
    <w:tbl>
      <w:tblPr>
        <w:tblW w:type="pct" w:w="100%"/>
        <w:tblBorders>
          <w:top w:val="single" w:color="12203A" w:sz="4"/>
          <w:left w:val="single" w:color="12203A" w:sz="24"/>
          <w:bottom w:val="single" w:color="12203A" w:sz="4"/>
          <w:right w:val="single" w:color="12203A" w:sz="4"/>
          <w:insideH w:val="none" w:color="FFFFFF" w:sz="0"/>
          <w:insideV w:val="none" w:color="FFFFFF" w:sz="0"/>
        </w:tblBorders>
      </w:tblPr>
      <w:tblGrid>
        <w:gridCol w:w="100"/>
      </w:tblGrid>
      <w:tr>
        <w:tc>
          <w:tcPr>
            <w:shd w:fill="EDEFF4" w:color="auto" w:val="clear"/>
            <w:tcMar>
              <w:top w:type="dxa" w:w="140"/>
              <w:left w:type="dxa" w:w="220"/>
              <w:bottom w:type="dxa" w:w="140"/>
              <w:right w:type="dxa" w:w="220"/>
            </w:tcMar>
          </w:tcPr>
          <w:p>
            <w:pPr>
              <w:spacing w:after="60"/>
            </w:pPr>
            <w:r>
              <w:rPr>
                <w:rFonts w:ascii="Calibri" w:cs="Calibri" w:eastAsia="Calibri" w:hAnsi="Calibri"/>
                <w:b/>
                <w:bCs/>
                <w:color w:val="12203A"/>
                <w:sz w:val="19"/>
                <w:szCs w:val="19"/>
              </w:rPr>
              <w:t xml:space="preserve">If the microphone button doesn't respond</w:t>
            </w:r>
          </w:p>
          <w:p>
            <w:r>
              <w:rPr>
                <w:rFonts w:ascii="Calibri" w:cs="Calibri" w:eastAsia="Calibri" w:hAnsi="Calibri"/>
                <w:sz w:val="21"/>
                <w:szCs w:val="21"/>
              </w:rPr>
              <w:t xml:space="preserve">Speech input needs microphone permission from your browser. If you're viewing Foresite inside another app's embedded preview rather than a full browser tab, that container may block microphone access entirely — open the file directly in your browser for reliable voice input.</w:t>
            </w:r>
          </w:p>
        </w:tc>
      </w:tr>
    </w:tbl>
    <w:p>
      <w:pPr>
        <w:pStyle w:val="Heading1"/>
        <w:pBdr>
          <w:bottom w:val="single" w:color="C1502E" w:sz="10" w:space="6"/>
        </w:pBdr>
        <w:spacing w:after="160" w:before="420"/>
      </w:pPr>
      <w:r>
        <w:t xml:space="preserve">7. Working in Your Own Language</w:t>
      </w:r>
    </w:p>
    <w:p>
      <w:pPr>
        <w:spacing w:after="160" w:line="288"/>
      </w:pPr>
      <w:r>
        <w:rPr>
          <w:rFonts w:ascii="Calibri" w:cs="Calibri" w:eastAsia="Calibri" w:hAnsi="Calibri"/>
          <w:b w:val="false"/>
          <w:bCs w:val="false"/>
          <w:i w:val="false"/>
          <w:iCs w:val="false"/>
          <w:sz w:val="22"/>
          <w:szCs w:val="22"/>
        </w:rPr>
        <w:t xml:space="preserve">Foresite is available in English, Spanish, Korean, Chinese, Arabic, and Thai. Switch languages from the sidebar (or from the setup screen, before an account even exists) — the interface, the events Foresite extracts from your field updates, and Ask My Jobs answers all switch with it. Arabic also switches the entire layout to right-to-left.</w:t>
      </w:r>
    </w:p>
    <w:p>
      <w:pPr>
        <w:spacing w:after="160" w:line="288"/>
      </w:pPr>
      <w:r>
        <w:rPr>
          <w:rFonts w:ascii="Calibri" w:cs="Calibri" w:eastAsia="Calibri" w:hAnsi="Calibri"/>
          <w:b w:val="false"/>
          <w:bCs w:val="false"/>
          <w:i w:val="false"/>
          <w:iCs w:val="false"/>
          <w:sz w:val="22"/>
          <w:szCs w:val="22"/>
        </w:rPr>
        <w:t xml:space="preserve">One honest limitation: a handful of illustrative example placeholders (the faint “e.g. ...” text inside empty fields) remain in English in this version. Every button, label, heading, and piece of AI-generated content is fully translated.</w:t>
      </w:r>
    </w:p>
    <w:p>
      <w:pPr>
        <w:pStyle w:val="Heading1"/>
        <w:pBdr>
          <w:bottom w:val="single" w:color="C1502E" w:sz="10" w:space="6"/>
        </w:pBdr>
        <w:spacing w:after="160" w:before="420"/>
      </w:pPr>
      <w:r>
        <w:t xml:space="preserve">8. Reading an Extracted Event</w:t>
      </w:r>
    </w:p>
    <w:p>
      <w:pPr>
        <w:spacing w:after="160" w:line="288"/>
      </w:pPr>
      <w:r>
        <w:rPr>
          <w:rFonts w:ascii="Calibri" w:cs="Calibri" w:eastAsia="Calibri" w:hAnsi="Calibri"/>
          <w:b w:val="false"/>
          <w:bCs w:val="false"/>
          <w:i w:val="false"/>
          <w:iCs w:val="false"/>
          <w:sz w:val="22"/>
          <w:szCs w:val="22"/>
        </w:rPr>
        <w:t xml:space="preserve">Every event pulled out of your input is broken into four distinct parts, so you can always tell the difference between what was actually said and what the system concluded from it.</w:t>
      </w:r>
    </w:p>
    <w:tbl>
      <w:tblPr>
        <w:tblW w:type="dxa" w:w="9700"/>
        <w:tblBorders>
          <w:top w:val="single" w:color="C9CFDD" w:sz="2"/>
          <w:left w:val="single" w:color="C9CFDD" w:sz="2"/>
          <w:bottom w:val="single" w:color="C9CFDD" w:sz="2"/>
          <w:right w:val="single" w:color="C9CFDD" w:sz="2"/>
          <w:insideH w:val="single" w:color="C9CFDD" w:sz="2"/>
          <w:insideV w:val="single" w:color="C9CFDD" w:sz="2"/>
        </w:tblBorders>
      </w:tblPr>
      <w:tblGrid>
        <w:gridCol w:w="2600"/>
        <w:gridCol w:w="7100"/>
      </w:tblGrid>
      <w:tr>
        <w:tc>
          <w:tcPr>
            <w:tcW w:type="dxa" w:w="2600"/>
            <w:shd w:fill="12203A" w:color="auto" w:val="clear"/>
            <w:tcMar>
              <w:top w:type="dxa" w:w="90"/>
              <w:left w:type="dxa" w:w="120"/>
              <w:bottom w:type="dxa" w:w="90"/>
              <w:right w:type="dxa" w:w="120"/>
            </w:tcMar>
          </w:tcPr>
          <w:p>
            <w:r>
              <w:rPr>
                <w:rFonts w:ascii="Calibri" w:cs="Calibri" w:eastAsia="Calibri" w:hAnsi="Calibri"/>
                <w:b/>
                <w:bCs/>
                <w:color w:val="FFFFFF"/>
                <w:sz w:val="19"/>
                <w:szCs w:val="19"/>
              </w:rPr>
              <w:t xml:space="preserve">Label</w:t>
            </w:r>
          </w:p>
        </w:tc>
        <w:tc>
          <w:tcPr>
            <w:tcW w:type="dxa" w:w="7100"/>
            <w:shd w:fill="12203A"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it means</w:t>
            </w:r>
          </w:p>
        </w:tc>
      </w:tr>
      <w:tr>
        <w:tc>
          <w:tcPr>
            <w:tcW w:type="dxa" w:w="26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Fact</w:t>
            </w:r>
          </w:p>
        </w:tc>
        <w:tc>
          <w:tcPr>
            <w:tcW w:type="dxa" w:w="71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Something directly stated in the input. Not interpreted.</w:t>
            </w:r>
          </w:p>
        </w:tc>
      </w:tr>
      <w:tr>
        <w:tc>
          <w:tcPr>
            <w:tcW w:type="dxa" w:w="26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Signal</w:t>
            </w:r>
          </w:p>
        </w:tc>
        <w:tc>
          <w:tcPr>
            <w:tcW w:type="dxa" w:w="71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Something the fact implies is connected or at risk — a dependency, a pattern.</w:t>
            </w:r>
          </w:p>
        </w:tc>
      </w:tr>
      <w:tr>
        <w:tc>
          <w:tcPr>
            <w:tcW w:type="dxa" w:w="26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Inference</w:t>
            </w:r>
          </w:p>
        </w:tc>
        <w:tc>
          <w:tcPr>
            <w:tcW w:type="dxa" w:w="71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The system's own conclusion, drawn from the fact and signal.</w:t>
            </w:r>
          </w:p>
        </w:tc>
      </w:tr>
      <w:tr>
        <w:tc>
          <w:tcPr>
            <w:tcW w:type="dxa" w:w="26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Recommendation</w:t>
            </w:r>
          </w:p>
        </w:tc>
        <w:tc>
          <w:tcPr>
            <w:tcW w:type="dxa" w:w="71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A concrete next action — never taken automatically, always yours to approve.</w:t>
            </w:r>
          </w:p>
        </w:tc>
      </w:tr>
    </w:tbl>
    <w:p>
      <w:pPr>
        <w:pStyle w:val="Heading1"/>
        <w:pBdr>
          <w:bottom w:val="single" w:color="C1502E" w:sz="10" w:space="6"/>
        </w:pBdr>
        <w:spacing w:after="160" w:before="420"/>
      </w:pPr>
      <w:r>
        <w:t xml:space="preserve">9. Risk Scoring &amp; Severity</w:t>
      </w:r>
    </w:p>
    <w:p>
      <w:pPr>
        <w:spacing w:after="160" w:line="288"/>
      </w:pPr>
      <w:r>
        <w:rPr>
          <w:rFonts w:ascii="Calibri" w:cs="Calibri" w:eastAsia="Calibri" w:hAnsi="Calibri"/>
          <w:b w:val="false"/>
          <w:bCs w:val="false"/>
          <w:i w:val="false"/>
          <w:iCs w:val="false"/>
          <w:sz w:val="22"/>
          <w:szCs w:val="22"/>
        </w:rPr>
        <w:t xml:space="preserve">Severity is never decided by free-form AI judgment alone. It's calculated from three factors the extraction engine estimates for each event, combined with a fixed formula:</w:t>
      </w:r>
    </w:p>
    <w:tbl>
      <w:tblPr>
        <w:tblW w:type="pct" w:w="100%"/>
        <w:tblBorders>
          <w:top w:val="single" w:color="C1502E" w:sz="4"/>
          <w:left w:val="single" w:color="C1502E" w:sz="24"/>
          <w:bottom w:val="single" w:color="C1502E" w:sz="4"/>
          <w:right w:val="single" w:color="C1502E" w:sz="4"/>
          <w:insideH w:val="none" w:color="FFFFFF" w:sz="0"/>
          <w:insideV w:val="none" w:color="FFFFFF" w:sz="0"/>
        </w:tblBorders>
      </w:tblPr>
      <w:tblGrid>
        <w:gridCol w:w="100"/>
      </w:tblGrid>
      <w:tr>
        <w:tc>
          <w:tcPr>
            <w:shd w:fill="EDEFF4" w:color="auto" w:val="clear"/>
            <w:tcMar>
              <w:top w:type="dxa" w:w="140"/>
              <w:left w:type="dxa" w:w="220"/>
              <w:bottom w:type="dxa" w:w="140"/>
              <w:right w:type="dxa" w:w="220"/>
            </w:tcMar>
          </w:tcPr>
          <w:p>
            <w:pPr>
              <w:spacing w:after="60"/>
            </w:pPr>
            <w:r>
              <w:rPr>
                <w:rFonts w:ascii="Calibri" w:cs="Calibri" w:eastAsia="Calibri" w:hAnsi="Calibri"/>
                <w:b/>
                <w:bCs/>
                <w:color w:val="C1502E"/>
                <w:sz w:val="19"/>
                <w:szCs w:val="19"/>
              </w:rPr>
              <w:t xml:space="preserve">The formula</w:t>
            </w:r>
          </w:p>
          <w:p>
            <w:r>
              <w:rPr>
                <w:rFonts w:ascii="Calibri" w:cs="Calibri" w:eastAsia="Calibri" w:hAnsi="Calibri"/>
                <w:sz w:val="21"/>
                <w:szCs w:val="21"/>
              </w:rPr>
              <w:t xml:space="preserve">Severity score = the geometric mean of Probability × Impact × Urgency (each scored 0-100). The same formula, every time — not a model's mood.</w:t>
            </w:r>
          </w:p>
        </w:tc>
      </w:tr>
    </w:tbl>
    <w:p>
      <w:pPr>
        <w:spacing w:after="120"/>
      </w:pPr>
    </w:p>
    <w:tbl>
      <w:tblPr>
        <w:tblW w:type="dxa" w:w="9700"/>
        <w:tblBorders>
          <w:top w:val="single" w:color="C9CFDD" w:sz="2"/>
          <w:left w:val="single" w:color="C9CFDD" w:sz="2"/>
          <w:bottom w:val="single" w:color="C9CFDD" w:sz="2"/>
          <w:right w:val="single" w:color="C9CFDD" w:sz="2"/>
          <w:insideH w:val="single" w:color="C9CFDD" w:sz="2"/>
          <w:insideV w:val="single" w:color="C9CFDD" w:sz="2"/>
        </w:tblBorders>
      </w:tblPr>
      <w:tblGrid>
        <w:gridCol w:w="3200"/>
        <w:gridCol w:w="6500"/>
      </w:tblGrid>
      <w:tr>
        <w:tc>
          <w:tcPr>
            <w:tcW w:type="dxa" w:w="3200"/>
            <w:shd w:fill="12203A" w:color="auto" w:val="clear"/>
            <w:tcMar>
              <w:top w:type="dxa" w:w="90"/>
              <w:left w:type="dxa" w:w="120"/>
              <w:bottom w:type="dxa" w:w="90"/>
              <w:right w:type="dxa" w:w="120"/>
            </w:tcMar>
          </w:tcPr>
          <w:p>
            <w:r>
              <w:rPr>
                <w:rFonts w:ascii="Calibri" w:cs="Calibri" w:eastAsia="Calibri" w:hAnsi="Calibri"/>
                <w:b/>
                <w:bCs/>
                <w:color w:val="FFFFFF"/>
                <w:sz w:val="19"/>
                <w:szCs w:val="19"/>
              </w:rPr>
              <w:t xml:space="preserve">Score range</w:t>
            </w:r>
          </w:p>
        </w:tc>
        <w:tc>
          <w:tcPr>
            <w:tcW w:type="dxa" w:w="6500"/>
            <w:shd w:fill="12203A" w:color="auto" w:val="clear"/>
            <w:tcMar>
              <w:top w:type="dxa" w:w="90"/>
              <w:left w:type="dxa" w:w="120"/>
              <w:bottom w:type="dxa" w:w="90"/>
              <w:right w:type="dxa" w:w="120"/>
            </w:tcMar>
          </w:tcPr>
          <w:p>
            <w:r>
              <w:rPr>
                <w:rFonts w:ascii="Calibri" w:cs="Calibri" w:eastAsia="Calibri" w:hAnsi="Calibri"/>
                <w:b/>
                <w:bCs/>
                <w:color w:val="FFFFFF"/>
                <w:sz w:val="19"/>
                <w:szCs w:val="19"/>
              </w:rPr>
              <w:t xml:space="preserve">Severity</w:t>
            </w:r>
          </w:p>
        </w:tc>
      </w:tr>
      <w:tr>
        <w:tc>
          <w:tcPr>
            <w:tcW w:type="dxa" w:w="32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80-100</w:t>
            </w:r>
          </w:p>
        </w:tc>
        <w:tc>
          <w:tcPr>
            <w:tcW w:type="dxa" w:w="65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CRITICAL</w:t>
            </w:r>
          </w:p>
        </w:tc>
      </w:tr>
      <w:tr>
        <w:tc>
          <w:tcPr>
            <w:tcW w:type="dxa" w:w="32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60-79</w:t>
            </w:r>
          </w:p>
        </w:tc>
        <w:tc>
          <w:tcPr>
            <w:tcW w:type="dxa" w:w="65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HIGH</w:t>
            </w:r>
          </w:p>
        </w:tc>
      </w:tr>
      <w:tr>
        <w:tc>
          <w:tcPr>
            <w:tcW w:type="dxa" w:w="32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35-59</w:t>
            </w:r>
          </w:p>
        </w:tc>
        <w:tc>
          <w:tcPr>
            <w:tcW w:type="dxa" w:w="65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MEDIUM</w:t>
            </w:r>
          </w:p>
        </w:tc>
      </w:tr>
      <w:tr>
        <w:tc>
          <w:tcPr>
            <w:tcW w:type="dxa" w:w="32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0-34</w:t>
            </w:r>
          </w:p>
        </w:tc>
        <w:tc>
          <w:tcPr>
            <w:tcW w:type="dxa" w:w="65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LOW</w:t>
            </w:r>
          </w:p>
        </w:tc>
      </w:tr>
    </w:tbl>
    <w:p>
      <w:pPr>
        <w:pStyle w:val="Heading1"/>
        <w:pBdr>
          <w:bottom w:val="single" w:color="C1502E" w:sz="10" w:space="6"/>
        </w:pBdr>
        <w:spacing w:after="160" w:before="420"/>
      </w:pPr>
      <w:r>
        <w:t xml:space="preserve">10. Financial Exposure — and Why It Sometimes Says “Unknown”</w:t>
      </w:r>
    </w:p>
    <w:p>
      <w:pPr>
        <w:spacing w:after="160" w:line="288"/>
      </w:pPr>
      <w:r>
        <w:rPr>
          <w:rFonts w:ascii="Calibri" w:cs="Calibri" w:eastAsia="Calibri" w:hAnsi="Calibri"/>
          <w:b w:val="false"/>
          <w:bCs w:val="false"/>
          <w:i w:val="false"/>
          <w:iCs w:val="false"/>
          <w:sz w:val="22"/>
          <w:szCs w:val="22"/>
        </w:rPr>
        <w:t xml:space="preserve">This is the product's most important rule: it will never invent a dollar figure.</w:t>
      </w:r>
    </w:p>
    <w:tbl>
      <w:tblPr>
        <w:tblW w:type="pct" w:w="100%"/>
        <w:tblBorders>
          <w:top w:val="single" w:color="12203A" w:sz="4"/>
          <w:left w:val="single" w:color="12203A" w:sz="24"/>
          <w:bottom w:val="single" w:color="12203A" w:sz="4"/>
          <w:right w:val="single" w:color="12203A" w:sz="4"/>
          <w:insideH w:val="none" w:color="FFFFFF" w:sz="0"/>
          <w:insideV w:val="none" w:color="FFFFFF" w:sz="0"/>
        </w:tblBorders>
      </w:tblPr>
      <w:tblGrid>
        <w:gridCol w:w="100"/>
      </w:tblGrid>
      <w:tr>
        <w:tc>
          <w:tcPr>
            <w:shd w:fill="EDEFF4" w:color="auto" w:val="clear"/>
            <w:tcMar>
              <w:top w:type="dxa" w:w="140"/>
              <w:left w:type="dxa" w:w="220"/>
              <w:bottom w:type="dxa" w:w="140"/>
              <w:right w:type="dxa" w:w="220"/>
            </w:tcMar>
          </w:tcPr>
          <w:p>
            <w:pPr>
              <w:spacing w:after="60"/>
            </w:pPr>
            <w:r>
              <w:rPr>
                <w:rFonts w:ascii="Calibri" w:cs="Calibri" w:eastAsia="Calibri" w:hAnsi="Calibri"/>
                <w:b/>
                <w:bCs/>
                <w:color w:val="12203A"/>
                <w:sz w:val="19"/>
                <w:szCs w:val="19"/>
              </w:rPr>
              <w:t xml:space="preserve">The absolute rule</w:t>
            </w:r>
          </w:p>
          <w:p>
            <w:r>
              <w:rPr>
                <w:rFonts w:ascii="Calibri" w:cs="Calibri" w:eastAsia="Calibri" w:hAnsi="Calibri"/>
                <w:sz w:val="21"/>
                <w:szCs w:val="21"/>
              </w:rPr>
              <w:t xml:space="preserve">If the system knows a customer requested 50 additional square feet, but does not know the price, material cost, or labor rate, it will not guess an amount. It will say: potential revenue opportunity detected — insufficient information to estimate value.</w:t>
            </w:r>
          </w:p>
        </w:tc>
      </w:tr>
    </w:tbl>
    <w:p>
      <w:pPr>
        <w:spacing w:after="120"/>
      </w:pPr>
    </w:p>
    <w:p>
      <w:pPr>
        <w:pStyle w:val="ListParagraph"/>
        <w:numPr>
          <w:ilvl w:val="0"/>
          <w:numId w:val="2"/>
        </w:numPr>
        <w:spacing w:after="80" w:line="276"/>
      </w:pPr>
      <w:r>
        <w:rPr>
          <w:rFonts w:ascii="Calibri" w:cs="Calibri" w:eastAsia="Calibri" w:hAnsi="Calibri"/>
          <w:sz w:val="22"/>
          <w:szCs w:val="22"/>
        </w:rPr>
        <w:t xml:space="preserve">Labor: affected hours × your loaded labor rate</w:t>
      </w:r>
    </w:p>
    <w:p>
      <w:pPr>
        <w:pStyle w:val="ListParagraph"/>
        <w:numPr>
          <w:ilvl w:val="0"/>
          <w:numId w:val="2"/>
        </w:numPr>
        <w:spacing w:after="80" w:line="276"/>
      </w:pPr>
      <w:r>
        <w:rPr>
          <w:rFonts w:ascii="Calibri" w:cs="Calibri" w:eastAsia="Calibri" w:hAnsi="Calibri"/>
          <w:sz w:val="22"/>
          <w:szCs w:val="22"/>
        </w:rPr>
        <w:t xml:space="preserve">Material: quantity × known unit cost, plus your material markup</w:t>
      </w:r>
    </w:p>
    <w:p>
      <w:pPr>
        <w:pStyle w:val="ListParagraph"/>
        <w:numPr>
          <w:ilvl w:val="0"/>
          <w:numId w:val="2"/>
        </w:numPr>
        <w:spacing w:after="80" w:line="276"/>
      </w:pPr>
      <w:r>
        <w:rPr>
          <w:rFonts w:ascii="Calibri" w:cs="Calibri" w:eastAsia="Calibri" w:hAnsi="Calibri"/>
          <w:sz w:val="22"/>
          <w:szCs w:val="22"/>
        </w:rPr>
        <w:t xml:space="preserve">Stated amount: used directly when a dollar figure was explicitly given in the input</w:t>
      </w:r>
    </w:p>
    <w:p>
      <w:pPr>
        <w:pStyle w:val="Heading2"/>
        <w:spacing w:after="120" w:before="300"/>
      </w:pPr>
      <w:r>
        <w:t xml:space="preserve">Gross vs. unique exposure</w:t>
      </w:r>
    </w:p>
    <w:p>
      <w:pPr>
        <w:spacing w:after="160" w:line="288"/>
      </w:pPr>
      <w:r>
        <w:rPr>
          <w:rFonts w:ascii="Calibri" w:cs="Calibri" w:eastAsia="Calibri" w:hAnsi="Calibri"/>
          <w:b w:val="false"/>
          <w:bCs w:val="false"/>
          <w:i w:val="false"/>
          <w:iCs w:val="false"/>
          <w:sz w:val="22"/>
          <w:szCs w:val="22"/>
        </w:rPr>
        <w:t xml:space="preserve">When one field update triggers a chain of effects — a material delay blocks a crew, which pushes the schedule — those are one underlying economic event, not three separate losses. The Portfolio Dashboard shows both: Gross (every exposure added independently) and Estimated Unique (cascading effects from the same root event counted once).</w:t>
      </w:r>
    </w:p>
    <w:p>
      <w:pPr>
        <w:pStyle w:val="Heading1"/>
        <w:pBdr>
          <w:bottom w:val="single" w:color="C1502E" w:sz="10" w:space="6"/>
        </w:pBdr>
        <w:spacing w:after="160" w:before="420"/>
      </w:pPr>
      <w:r>
        <w:t xml:space="preserve">11. Alerts</w:t>
      </w:r>
    </w:p>
    <w:p>
      <w:pPr>
        <w:spacing w:after="160" w:line="288"/>
      </w:pPr>
      <w:r>
        <w:rPr>
          <w:rFonts w:ascii="Calibri" w:cs="Calibri" w:eastAsia="Calibri" w:hAnsi="Calibri"/>
          <w:b w:val="false"/>
          <w:bCs w:val="false"/>
          <w:i w:val="false"/>
          <w:iCs w:val="false"/>
          <w:sz w:val="22"/>
          <w:szCs w:val="22"/>
        </w:rPr>
        <w:t xml:space="preserve">Not every extracted event becomes an alert — only ones that clear a meaningful-impact and confidence threshold, and aren't a duplicate of something already open. Opening any alert answers the same questions every time: what happened, why it matters, how confident the system is, what it could cost, what evidence supports it, and what you should do about it.</w:t>
      </w:r>
    </w:p>
    <w:p>
      <w:pPr>
        <w:pStyle w:val="Heading2"/>
        <w:spacing w:after="120" w:before="300"/>
      </w:pPr>
      <w:r>
        <w:t xml:space="preserve">What you can do with an alert</w:t>
      </w:r>
    </w:p>
    <w:p>
      <w:pPr>
        <w:pStyle w:val="ListParagraph"/>
        <w:numPr>
          <w:ilvl w:val="0"/>
          <w:numId w:val="2"/>
        </w:numPr>
        <w:spacing w:after="80" w:line="276"/>
      </w:pPr>
      <w:r>
        <w:rPr>
          <w:rFonts w:ascii="Calibri" w:cs="Calibri" w:eastAsia="Calibri" w:hAnsi="Calibri"/>
          <w:sz w:val="22"/>
          <w:szCs w:val="22"/>
        </w:rPr>
        <w:t xml:space="preserve">Acknowledge — you've seen it and are tracking it.</w:t>
      </w:r>
    </w:p>
    <w:p>
      <w:pPr>
        <w:pStyle w:val="ListParagraph"/>
        <w:numPr>
          <w:ilvl w:val="0"/>
          <w:numId w:val="2"/>
        </w:numPr>
        <w:spacing w:after="80" w:line="276"/>
      </w:pPr>
      <w:r>
        <w:rPr>
          <w:rFonts w:ascii="Calibri" w:cs="Calibri" w:eastAsia="Calibri" w:hAnsi="Calibri"/>
          <w:sz w:val="22"/>
          <w:szCs w:val="22"/>
        </w:rPr>
        <w:t xml:space="preserve">Create action — turns the recommendation into a tracked to-do.</w:t>
      </w:r>
    </w:p>
    <w:p>
      <w:pPr>
        <w:pStyle w:val="ListParagraph"/>
        <w:numPr>
          <w:ilvl w:val="0"/>
          <w:numId w:val="2"/>
        </w:numPr>
        <w:spacing w:after="80" w:line="276"/>
      </w:pPr>
      <w:r>
        <w:rPr>
          <w:rFonts w:ascii="Calibri" w:cs="Calibri" w:eastAsia="Calibri" w:hAnsi="Calibri"/>
          <w:sz w:val="22"/>
          <w:szCs w:val="22"/>
        </w:rPr>
        <w:t xml:space="preserve">Mark resolved — the issue is handled.</w:t>
      </w:r>
    </w:p>
    <w:p>
      <w:pPr>
        <w:pStyle w:val="ListParagraph"/>
        <w:numPr>
          <w:ilvl w:val="0"/>
          <w:numId w:val="2"/>
        </w:numPr>
        <w:spacing w:after="80" w:line="276"/>
      </w:pPr>
      <w:r>
        <w:rPr>
          <w:rFonts w:ascii="Calibri" w:cs="Calibri" w:eastAsia="Calibri" w:hAnsi="Calibri"/>
          <w:sz w:val="22"/>
          <w:szCs w:val="22"/>
        </w:rPr>
        <w:t xml:space="preserve">Dismiss — not relevant; won't resurface in this form.</w:t>
      </w:r>
    </w:p>
    <w:p>
      <w:pPr>
        <w:pStyle w:val="ListParagraph"/>
        <w:numPr>
          <w:ilvl w:val="0"/>
          <w:numId w:val="2"/>
        </w:numPr>
        <w:spacing w:after="80" w:line="276"/>
      </w:pPr>
      <w:r>
        <w:rPr>
          <w:rFonts w:ascii="Calibri" w:cs="Calibri" w:eastAsia="Calibri" w:hAnsi="Calibri"/>
          <w:sz w:val="22"/>
          <w:szCs w:val="22"/>
        </w:rPr>
        <w:t xml:space="preserve">Record outcome — log verified revenue captured, cost avoided, schedule recovered, or a false positive. This builds your verified-value history.</w:t>
      </w:r>
    </w:p>
    <w:p>
      <w:pPr>
        <w:pStyle w:val="Heading2"/>
        <w:spacing w:after="120" w:before="300"/>
      </w:pPr>
      <w:r>
        <w:t xml:space="preserve">Alerts that sit too long</w:t>
      </w:r>
    </w:p>
    <w:p>
      <w:pPr>
        <w:spacing w:after="160" w:line="288"/>
      </w:pPr>
      <w:r>
        <w:rPr>
          <w:rFonts w:ascii="Calibri" w:cs="Calibri" w:eastAsia="Calibri" w:hAnsi="Calibri"/>
          <w:b w:val="false"/>
          <w:bCs w:val="false"/>
          <w:i w:val="false"/>
          <w:iCs w:val="false"/>
          <w:sz w:val="22"/>
          <w:szCs w:val="22"/>
        </w:rPr>
        <w:t xml:space="preserve">A Critical alert left open more than 24 hours, or a High alert left open more than 72 hours, is flagged with a small timer note — the passage of time without anyone acknowledging it is itself a signal worth surfacing.</w:t>
      </w:r>
    </w:p>
    <w:p>
      <w:pPr>
        <w:pStyle w:val="Heading1"/>
        <w:pBdr>
          <w:bottom w:val="single" w:color="C1502E" w:sz="10" w:space="6"/>
        </w:pBdr>
        <w:spacing w:after="160" w:before="420"/>
      </w:pPr>
      <w:r>
        <w:t xml:space="preserve">12. Dashboards</w:t>
      </w:r>
    </w:p>
    <w:p>
      <w:pPr>
        <w:pStyle w:val="Heading2"/>
        <w:spacing w:after="120" w:before="300"/>
      </w:pPr>
      <w:r>
        <w:t xml:space="preserve">Portfolio Dashboard</w:t>
      </w:r>
    </w:p>
    <w:p>
      <w:pPr>
        <w:spacing w:after="160" w:line="288"/>
      </w:pPr>
      <w:r>
        <w:rPr>
          <w:rFonts w:ascii="Calibri" w:cs="Calibri" w:eastAsia="Calibri" w:hAnsi="Calibri"/>
          <w:b w:val="false"/>
          <w:bCs w:val="false"/>
          <w:i w:val="false"/>
          <w:iCs w:val="false"/>
          <w:sz w:val="22"/>
          <w:szCs w:val="22"/>
        </w:rPr>
        <w:t xml:space="preserve">Your across-all-jobs view: total active jobs, potential exposure (gross and unique), open issues by severity, verified value protected to date, what needs your attention right now, and your open actions.</w:t>
      </w:r>
    </w:p>
    <w:p>
      <w:pPr>
        <w:pStyle w:val="Heading2"/>
        <w:spacing w:after="120" w:before="300"/>
      </w:pPr>
      <w:r>
        <w:t xml:space="preserve">Project Dashboard</w:t>
      </w:r>
    </w:p>
    <w:p>
      <w:pPr>
        <w:spacing w:after="160" w:line="288"/>
      </w:pPr>
      <w:r>
        <w:rPr>
          <w:rFonts w:ascii="Calibri" w:cs="Calibri" w:eastAsia="Calibri" w:hAnsi="Calibri"/>
          <w:b w:val="false"/>
          <w:bCs w:val="false"/>
          <w:i w:val="false"/>
          <w:iCs w:val="false"/>
          <w:sz w:val="22"/>
          <w:szCs w:val="22"/>
        </w:rPr>
        <w:t xml:space="preserve">Drill into one job: revenue, cost, and schedule risk shown separately, open issues, recent events, and verified value for that job specifically.</w:t>
      </w:r>
    </w:p>
    <w:p>
      <w:pPr>
        <w:pStyle w:val="Heading1"/>
        <w:pBdr>
          <w:bottom w:val="single" w:color="C1502E" w:sz="10" w:space="6"/>
        </w:pBdr>
        <w:spacing w:after="160" w:before="420"/>
      </w:pPr>
      <w:r>
        <w:t xml:space="preserve">13. The Event Graph</w:t>
      </w:r>
    </w:p>
    <w:p>
      <w:pPr>
        <w:spacing w:after="160" w:line="288"/>
      </w:pPr>
      <w:r>
        <w:rPr>
          <w:rFonts w:ascii="Calibri" w:cs="Calibri" w:eastAsia="Calibri" w:hAnsi="Calibri"/>
          <w:b w:val="false"/>
          <w:bCs w:val="false"/>
          <w:i w:val="false"/>
          <w:iCs w:val="false"/>
          <w:sz w:val="22"/>
          <w:szCs w:val="22"/>
        </w:rPr>
        <w:t xml:space="preserve">Individual updates are connected into chains so you can see how one thing leads to another — not just a list of unrelated AI summaries.</w:t>
      </w:r>
    </w:p>
    <w:p>
      <w:pPr>
        <w:pStyle w:val="Heading3"/>
        <w:spacing w:after="90" w:before="220"/>
      </w:pPr>
      <w:r>
        <w:t xml:space="preserve">Cascades</w:t>
      </w:r>
    </w:p>
    <w:p>
      <w:pPr>
        <w:spacing w:after="160" w:line="288"/>
      </w:pPr>
      <w:r>
        <w:rPr>
          <w:rFonts w:ascii="Calibri" w:cs="Calibri" w:eastAsia="Calibri" w:hAnsi="Calibri"/>
          <w:b w:val="false"/>
          <w:bCs w:val="false"/>
          <w:i w:val="false"/>
          <w:iCs w:val="false"/>
          <w:sz w:val="22"/>
          <w:szCs w:val="22"/>
        </w:rPr>
        <w:t xml:space="preserve">A single field update containing cause and effect (a delayed delivery blocking a crew, risking the schedule) is shown as that chain, in order.</w:t>
      </w:r>
    </w:p>
    <w:p>
      <w:pPr>
        <w:pStyle w:val="Heading3"/>
        <w:spacing w:after="90" w:before="220"/>
      </w:pPr>
      <w:r>
        <w:t xml:space="preserve">Recurring problem detection</w:t>
      </w:r>
    </w:p>
    <w:p>
      <w:pPr>
        <w:spacing w:after="160" w:line="288"/>
      </w:pPr>
      <w:r>
        <w:rPr>
          <w:rFonts w:ascii="Calibri" w:cs="Calibri" w:eastAsia="Calibri" w:hAnsi="Calibri"/>
          <w:b w:val="false"/>
          <w:bCs w:val="false"/>
          <w:i w:val="false"/>
          <w:iCs w:val="false"/>
          <w:sz w:val="22"/>
          <w:szCs w:val="22"/>
        </w:rPr>
        <w:t xml:space="preserve">The same subcontractor, material, or trade showing up across three or more separate issues raises one “recurring issue pattern” alert, in neutral language, rather than requiring you to notice it yourself.</w:t>
      </w:r>
    </w:p>
    <w:p>
      <w:pPr>
        <w:pStyle w:val="Heading3"/>
        <w:spacing w:after="90" w:before="220"/>
      </w:pPr>
      <w:r>
        <w:t xml:space="preserve">“Management doesn't know” detection</w:t>
      </w:r>
    </w:p>
    <w:p>
      <w:pPr>
        <w:spacing w:after="160" w:line="288"/>
      </w:pPr>
      <w:r>
        <w:rPr>
          <w:rFonts w:ascii="Calibri" w:cs="Calibri" w:eastAsia="Calibri" w:hAnsi="Calibri"/>
          <w:b w:val="false"/>
          <w:bCs w:val="false"/>
          <w:i w:val="false"/>
          <w:iCs w:val="false"/>
          <w:sz w:val="22"/>
          <w:szCs w:val="22"/>
        </w:rPr>
        <w:t xml:space="preserve">Some problems never look urgent one update at a time — “still waiting on tile,” then “tile hasn't arrived,” then “crew can't start.” No single message trips a high-severity alert, but the pattern, taken together, should. Foresite watches for exactly this and escalates it.</w:t>
      </w:r>
    </w:p>
    <w:p>
      <w:pPr>
        <w:pStyle w:val="Heading1"/>
        <w:pBdr>
          <w:bottom w:val="single" w:color="C1502E" w:sz="10" w:space="6"/>
        </w:pBdr>
        <w:spacing w:after="160" w:before="420"/>
      </w:pPr>
      <w:r>
        <w:t xml:space="preserve">14. Daily Brief</w:t>
      </w:r>
    </w:p>
    <w:p>
      <w:pPr>
        <w:spacing w:after="160" w:line="288"/>
      </w:pPr>
      <w:r>
        <w:rPr>
          <w:rFonts w:ascii="Calibri" w:cs="Calibri" w:eastAsia="Calibri" w:hAnsi="Calibri"/>
          <w:b w:val="false"/>
          <w:bCs w:val="false"/>
          <w:i w:val="false"/>
          <w:iCs w:val="false"/>
          <w:sz w:val="22"/>
          <w:szCs w:val="22"/>
        </w:rPr>
        <w:t xml:space="preserve">A short, management-style summary: how many jobs are urgent, important, or healthy right now; your top three priorities for the day; and the week's potential exposure against verified value protected. Meant to be read in under a minute.</w:t>
      </w:r>
    </w:p>
    <w:p>
      <w:pPr>
        <w:pStyle w:val="Heading1"/>
        <w:pBdr>
          <w:bottom w:val="single" w:color="C1502E" w:sz="10" w:space="6"/>
        </w:pBdr>
        <w:spacing w:after="160" w:before="420"/>
      </w:pPr>
      <w:r>
        <w:t xml:space="preserve">15. Ask My Jobs</w:t>
      </w:r>
    </w:p>
    <w:p>
      <w:pPr>
        <w:spacing w:after="160" w:line="288"/>
      </w:pPr>
      <w:r>
        <w:rPr>
          <w:rFonts w:ascii="Calibri" w:cs="Calibri" w:eastAsia="Calibri" w:hAnsi="Calibri"/>
          <w:b w:val="false"/>
          <w:bCs w:val="false"/>
          <w:i w:val="false"/>
          <w:iCs w:val="false"/>
          <w:sz w:val="22"/>
          <w:szCs w:val="22"/>
        </w:rPr>
        <w:t xml:space="preserve">A plain-language question box: “Which job is in the most trouble?”, “Where are we losing money?”, “Show me unapproved work.” Answers are grounded only in alerts your system has actually generated — never invented — and are given in whichever language you're currently using.</w:t>
      </w:r>
    </w:p>
    <w:p>
      <w:pPr>
        <w:pStyle w:val="Heading1"/>
        <w:pBdr>
          <w:bottom w:val="single" w:color="C1502E" w:sz="10" w:space="6"/>
        </w:pBdr>
        <w:spacing w:after="160" w:before="420"/>
      </w:pPr>
      <w:r>
        <w:t xml:space="preserve">16. Free Job Profit Leak Scan</w:t>
      </w:r>
    </w:p>
    <w:p>
      <w:pPr>
        <w:spacing w:after="160" w:line="288"/>
      </w:pPr>
      <w:r>
        <w:rPr>
          <w:rFonts w:ascii="Calibri" w:cs="Calibri" w:eastAsia="Calibri" w:hAnsi="Calibri"/>
          <w:b w:val="false"/>
          <w:bCs w:val="false"/>
          <w:i w:val="false"/>
          <w:iCs w:val="false"/>
          <w:sz w:val="22"/>
          <w:szCs w:val="22"/>
        </w:rPr>
        <w:t xml:space="preserve">A no-account, no-commitment way to see the product work before setting anything up. Paste a handful of recent field notes and it runs the same extraction and detection pipeline used everywhere else, then shows you what it found, with the option to turn that session into a real, ongoing project.</w:t>
      </w:r>
    </w:p>
    <w:p>
      <w:pPr>
        <w:pStyle w:val="Heading1"/>
        <w:pBdr>
          <w:bottom w:val="single" w:color="C1502E" w:sz="10" w:space="6"/>
        </w:pBdr>
        <w:spacing w:after="160" w:before="420"/>
      </w:pPr>
      <w:r>
        <w:t xml:space="preserve">17. Settings</w:t>
      </w:r>
    </w:p>
    <w:p>
      <w:pPr>
        <w:spacing w:after="160" w:line="288"/>
      </w:pPr>
      <w:r>
        <w:rPr>
          <w:rFonts w:ascii="Calibri" w:cs="Calibri" w:eastAsia="Calibri" w:hAnsi="Calibri"/>
          <w:b w:val="false"/>
          <w:bCs w:val="false"/>
          <w:i w:val="false"/>
          <w:iCs w:val="false"/>
          <w:sz w:val="22"/>
          <w:szCs w:val="22"/>
        </w:rPr>
        <w:t xml:space="preserve">Configure the assumptions that convert detected signals into dollar figures:</w:t>
      </w:r>
    </w:p>
    <w:p>
      <w:pPr>
        <w:pStyle w:val="ListParagraph"/>
        <w:numPr>
          <w:ilvl w:val="0"/>
          <w:numId w:val="2"/>
        </w:numPr>
        <w:spacing w:after="80" w:line="276"/>
      </w:pPr>
      <w:r>
        <w:rPr>
          <w:rFonts w:ascii="Calibri" w:cs="Calibri" w:eastAsia="Calibri" w:hAnsi="Calibri"/>
          <w:sz w:val="22"/>
          <w:szCs w:val="22"/>
        </w:rPr>
        <w:t xml:space="preserve">Loaded labor rate ($/hr)</w:t>
      </w:r>
    </w:p>
    <w:p>
      <w:pPr>
        <w:pStyle w:val="ListParagraph"/>
        <w:numPr>
          <w:ilvl w:val="0"/>
          <w:numId w:val="2"/>
        </w:numPr>
        <w:spacing w:after="80" w:line="276"/>
      </w:pPr>
      <w:r>
        <w:rPr>
          <w:rFonts w:ascii="Calibri" w:cs="Calibri" w:eastAsia="Calibri" w:hAnsi="Calibri"/>
          <w:sz w:val="22"/>
          <w:szCs w:val="22"/>
        </w:rPr>
        <w:t xml:space="preserve">Typical crew size</w:t>
      </w:r>
    </w:p>
    <w:p>
      <w:pPr>
        <w:pStyle w:val="ListParagraph"/>
        <w:numPr>
          <w:ilvl w:val="0"/>
          <w:numId w:val="2"/>
        </w:numPr>
        <w:spacing w:after="80" w:line="276"/>
      </w:pPr>
      <w:r>
        <w:rPr>
          <w:rFonts w:ascii="Calibri" w:cs="Calibri" w:eastAsia="Calibri" w:hAnsi="Calibri"/>
          <w:sz w:val="22"/>
          <w:szCs w:val="22"/>
        </w:rPr>
        <w:t xml:space="preserve">Daily overhead ($)</w:t>
      </w:r>
    </w:p>
    <w:p>
      <w:pPr>
        <w:pStyle w:val="ListParagraph"/>
        <w:numPr>
          <w:ilvl w:val="0"/>
          <w:numId w:val="2"/>
        </w:numPr>
        <w:spacing w:after="80" w:line="276"/>
      </w:pPr>
      <w:r>
        <w:rPr>
          <w:rFonts w:ascii="Calibri" w:cs="Calibri" w:eastAsia="Calibri" w:hAnsi="Calibri"/>
          <w:sz w:val="22"/>
          <w:szCs w:val="22"/>
        </w:rPr>
        <w:t xml:space="preserve">Default markup (%)</w:t>
      </w:r>
    </w:p>
    <w:p>
      <w:pPr>
        <w:pStyle w:val="ListParagraph"/>
        <w:numPr>
          <w:ilvl w:val="0"/>
          <w:numId w:val="2"/>
        </w:numPr>
        <w:spacing w:after="80" w:line="276"/>
      </w:pPr>
      <w:r>
        <w:rPr>
          <w:rFonts w:ascii="Calibri" w:cs="Calibri" w:eastAsia="Calibri" w:hAnsi="Calibri"/>
          <w:sz w:val="22"/>
          <w:szCs w:val="22"/>
        </w:rPr>
        <w:t xml:space="preserve">Material markup (%)</w:t>
      </w:r>
    </w:p>
    <w:p>
      <w:pPr>
        <w:spacing w:after="160" w:line="288"/>
      </w:pPr>
      <w:r>
        <w:rPr>
          <w:rFonts w:ascii="Calibri" w:cs="Calibri" w:eastAsia="Calibri" w:hAnsi="Calibri"/>
          <w:b w:val="false"/>
          <w:bCs w:val="false"/>
          <w:i w:val="false"/>
          <w:iCs w:val="false"/>
          <w:sz w:val="22"/>
          <w:szCs w:val="22"/>
        </w:rPr>
        <w:t xml:space="preserve">Leaving any of these blank is a valid choice — the system reports “insufficient information” for calculations that depend on them, rather than guessing.</w:t>
      </w:r>
    </w:p>
    <w:p>
      <w:pPr>
        <w:pStyle w:val="Heading1"/>
        <w:pBdr>
          <w:bottom w:val="single" w:color="C1502E" w:sz="10" w:space="6"/>
        </w:pBdr>
        <w:spacing w:after="160" w:before="420"/>
      </w:pPr>
      <w:r>
        <w:t xml:space="preserve">18. Quick Reference</w:t>
      </w:r>
    </w:p>
    <w:p>
      <w:pPr>
        <w:pStyle w:val="Heading2"/>
        <w:spacing w:after="120" w:before="300"/>
      </w:pPr>
      <w:r>
        <w:t xml:space="preserve">Event categories</w:t>
      </w:r>
    </w:p>
    <w:tbl>
      <w:tblPr>
        <w:tblW w:type="dxa" w:w="9700"/>
        <w:tblBorders>
          <w:top w:val="single" w:color="C9CFDD" w:sz="2"/>
          <w:left w:val="single" w:color="C9CFDD" w:sz="2"/>
          <w:bottom w:val="single" w:color="C9CFDD" w:sz="2"/>
          <w:right w:val="single" w:color="C9CFDD" w:sz="2"/>
          <w:insideH w:val="single" w:color="C9CFDD" w:sz="2"/>
          <w:insideV w:val="single" w:color="C9CFDD" w:sz="2"/>
        </w:tblBorders>
      </w:tblPr>
      <w:tblGrid>
        <w:gridCol w:w="2600"/>
        <w:gridCol w:w="7100"/>
      </w:tblGrid>
      <w:tr>
        <w:tc>
          <w:tcPr>
            <w:tcW w:type="dxa" w:w="2600"/>
            <w:shd w:fill="12203A" w:color="auto" w:val="clear"/>
            <w:tcMar>
              <w:top w:type="dxa" w:w="90"/>
              <w:left w:type="dxa" w:w="120"/>
              <w:bottom w:type="dxa" w:w="90"/>
              <w:right w:type="dxa" w:w="120"/>
            </w:tcMar>
          </w:tcPr>
          <w:p>
            <w:r>
              <w:rPr>
                <w:rFonts w:ascii="Calibri" w:cs="Calibri" w:eastAsia="Calibri" w:hAnsi="Calibri"/>
                <w:b/>
                <w:bCs/>
                <w:color w:val="FFFFFF"/>
                <w:sz w:val="19"/>
                <w:szCs w:val="19"/>
              </w:rPr>
              <w:t xml:space="preserve">Category</w:t>
            </w:r>
          </w:p>
        </w:tc>
        <w:tc>
          <w:tcPr>
            <w:tcW w:type="dxa" w:w="7100"/>
            <w:shd w:fill="12203A" w:color="auto" w:val="clear"/>
            <w:tcMar>
              <w:top w:type="dxa" w:w="90"/>
              <w:left w:type="dxa" w:w="120"/>
              <w:bottom w:type="dxa" w:w="90"/>
              <w:right w:type="dxa" w:w="120"/>
            </w:tcMar>
          </w:tcPr>
          <w:p>
            <w:r>
              <w:rPr>
                <w:rFonts w:ascii="Calibri" w:cs="Calibri" w:eastAsia="Calibri" w:hAnsi="Calibri"/>
                <w:b/>
                <w:bCs/>
                <w:color w:val="FFFFFF"/>
                <w:sz w:val="19"/>
                <w:szCs w:val="19"/>
              </w:rPr>
              <w:t xml:space="preserve">Covers</w:t>
            </w:r>
          </w:p>
        </w:tc>
      </w:tr>
      <w:tr>
        <w:tc>
          <w:tcPr>
            <w:tcW w:type="dxa" w:w="26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Money</w:t>
            </w:r>
          </w:p>
        </w:tc>
        <w:tc>
          <w:tcPr>
            <w:tcW w:type="dxa" w:w="71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Scope changes, extra work, unpriced work, work started without approval</w:t>
            </w:r>
          </w:p>
        </w:tc>
      </w:tr>
      <w:tr>
        <w:tc>
          <w:tcPr>
            <w:tcW w:type="dxa" w:w="26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Materials</w:t>
            </w:r>
          </w:p>
        </w:tc>
        <w:tc>
          <w:tcPr>
            <w:tcW w:type="dxa" w:w="71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Delays, shortages, damage, wrong items delivered</w:t>
            </w:r>
          </w:p>
        </w:tc>
      </w:tr>
      <w:tr>
        <w:tc>
          <w:tcPr>
            <w:tcW w:type="dxa" w:w="26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Labor</w:t>
            </w:r>
          </w:p>
        </w:tc>
        <w:tc>
          <w:tcPr>
            <w:tcW w:type="dxa" w:w="71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Crew delays, idle time, unavailability, trade delays</w:t>
            </w:r>
          </w:p>
        </w:tc>
      </w:tr>
      <w:tr>
        <w:tc>
          <w:tcPr>
            <w:tcW w:type="dxa" w:w="26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Dependencies</w:t>
            </w:r>
          </w:p>
        </w:tc>
        <w:tc>
          <w:tcPr>
            <w:tcW w:type="dxa" w:w="71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One task blocked on another</w:t>
            </w:r>
          </w:p>
        </w:tc>
      </w:tr>
      <w:tr>
        <w:tc>
          <w:tcPr>
            <w:tcW w:type="dxa" w:w="26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Quality</w:t>
            </w:r>
          </w:p>
        </w:tc>
        <w:tc>
          <w:tcPr>
            <w:tcW w:type="dxa" w:w="71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Rework, defects, failed inspections</w:t>
            </w:r>
          </w:p>
        </w:tc>
      </w:tr>
      <w:tr>
        <w:tc>
          <w:tcPr>
            <w:tcW w:type="dxa" w:w="26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Customer</w:t>
            </w:r>
          </w:p>
        </w:tc>
        <w:tc>
          <w:tcPr>
            <w:tcW w:type="dxa" w:w="71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Requests, complaints, approvals needed</w:t>
            </w:r>
          </w:p>
        </w:tc>
      </w:tr>
      <w:tr>
        <w:tc>
          <w:tcPr>
            <w:tcW w:type="dxa" w:w="26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Schedule</w:t>
            </w:r>
          </w:p>
        </w:tc>
        <w:tc>
          <w:tcPr>
            <w:tcW w:type="dxa" w:w="71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Schedule, milestone, and completion-date risk</w:t>
            </w:r>
          </w:p>
        </w:tc>
      </w:tr>
      <w:tr>
        <w:tc>
          <w:tcPr>
            <w:tcW w:type="dxa" w:w="26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Documentation</w:t>
            </w:r>
          </w:p>
        </w:tc>
        <w:tc>
          <w:tcPr>
            <w:tcW w:type="dxa" w:w="71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Missing approvals or supporting records</w:t>
            </w:r>
          </w:p>
        </w:tc>
      </w:tr>
      <w:tr>
        <w:tc>
          <w:tcPr>
            <w:tcW w:type="dxa" w:w="26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Intelligence</w:t>
            </w:r>
          </w:p>
        </w:tc>
        <w:tc>
          <w:tcPr>
            <w:tcW w:type="dxa" w:w="71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Recurring problem patterns identified across events</w:t>
            </w:r>
          </w:p>
        </w:tc>
      </w:tr>
    </w:tbl>
    <w:p>
      <w:pPr>
        <w:spacing w:after="160"/>
      </w:pPr>
    </w:p>
    <w:p>
      <w:pPr>
        <w:pStyle w:val="Heading2"/>
        <w:spacing w:after="120" w:before="300"/>
      </w:pPr>
      <w:r>
        <w:t xml:space="preserve">Alert statuses</w:t>
      </w:r>
    </w:p>
    <w:tbl>
      <w:tblPr>
        <w:tblW w:type="dxa" w:w="9700"/>
        <w:tblBorders>
          <w:top w:val="single" w:color="C9CFDD" w:sz="2"/>
          <w:left w:val="single" w:color="C9CFDD" w:sz="2"/>
          <w:bottom w:val="single" w:color="C9CFDD" w:sz="2"/>
          <w:right w:val="single" w:color="C9CFDD" w:sz="2"/>
          <w:insideH w:val="single" w:color="C9CFDD" w:sz="2"/>
          <w:insideV w:val="single" w:color="C9CFDD" w:sz="2"/>
        </w:tblBorders>
      </w:tblPr>
      <w:tblGrid>
        <w:gridCol w:w="2600"/>
        <w:gridCol w:w="7100"/>
      </w:tblGrid>
      <w:tr>
        <w:tc>
          <w:tcPr>
            <w:tcW w:type="dxa" w:w="2600"/>
            <w:shd w:fill="12203A" w:color="auto" w:val="clear"/>
            <w:tcMar>
              <w:top w:type="dxa" w:w="90"/>
              <w:left w:type="dxa" w:w="120"/>
              <w:bottom w:type="dxa" w:w="90"/>
              <w:right w:type="dxa" w:w="120"/>
            </w:tcMar>
          </w:tcPr>
          <w:p>
            <w:r>
              <w:rPr>
                <w:rFonts w:ascii="Calibri" w:cs="Calibri" w:eastAsia="Calibri" w:hAnsi="Calibri"/>
                <w:b/>
                <w:bCs/>
                <w:color w:val="FFFFFF"/>
                <w:sz w:val="19"/>
                <w:szCs w:val="19"/>
              </w:rPr>
              <w:t xml:space="preserve">Status</w:t>
            </w:r>
          </w:p>
        </w:tc>
        <w:tc>
          <w:tcPr>
            <w:tcW w:type="dxa" w:w="7100"/>
            <w:shd w:fill="12203A" w:color="auto" w:val="clear"/>
            <w:tcMar>
              <w:top w:type="dxa" w:w="90"/>
              <w:left w:type="dxa" w:w="120"/>
              <w:bottom w:type="dxa" w:w="90"/>
              <w:right w:type="dxa" w:w="120"/>
            </w:tcMar>
          </w:tcPr>
          <w:p>
            <w:r>
              <w:rPr>
                <w:rFonts w:ascii="Calibri" w:cs="Calibri" w:eastAsia="Calibri" w:hAnsi="Calibri"/>
                <w:b/>
                <w:bCs/>
                <w:color w:val="FFFFFF"/>
                <w:sz w:val="19"/>
                <w:szCs w:val="19"/>
              </w:rPr>
              <w:t xml:space="preserve">Meaning</w:t>
            </w:r>
          </w:p>
        </w:tc>
      </w:tr>
      <w:tr>
        <w:tc>
          <w:tcPr>
            <w:tcW w:type="dxa" w:w="26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Open</w:t>
            </w:r>
          </w:p>
        </w:tc>
        <w:tc>
          <w:tcPr>
            <w:tcW w:type="dxa" w:w="71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Newly created, not yet reviewed</w:t>
            </w:r>
          </w:p>
        </w:tc>
      </w:tr>
      <w:tr>
        <w:tc>
          <w:tcPr>
            <w:tcW w:type="dxa" w:w="26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Acknowledged</w:t>
            </w:r>
          </w:p>
        </w:tc>
        <w:tc>
          <w:tcPr>
            <w:tcW w:type="dxa" w:w="71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Seen and being tracked, or has an action assigned</w:t>
            </w:r>
          </w:p>
        </w:tc>
      </w:tr>
      <w:tr>
        <w:tc>
          <w:tcPr>
            <w:tcW w:type="dxa" w:w="26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Resolved</w:t>
            </w:r>
          </w:p>
        </w:tc>
        <w:tc>
          <w:tcPr>
            <w:tcW w:type="dxa" w:w="7100"/>
            <w:shd w:fill="FFFFFF"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The issue is closed out, with or without a recorded outcome</w:t>
            </w:r>
          </w:p>
        </w:tc>
      </w:tr>
      <w:tr>
        <w:tc>
          <w:tcPr>
            <w:tcW w:type="dxa" w:w="26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Dismissed</w:t>
            </w:r>
          </w:p>
        </w:tc>
        <w:tc>
          <w:tcPr>
            <w:tcW w:type="dxa" w:w="7100"/>
            <w:shd w:fill="F5F6FA" w:color="auto" w:val="clear"/>
            <w:tcMar>
              <w:top w:type="dxa" w:w="90"/>
              <w:left w:type="dxa" w:w="120"/>
              <w:bottom w:type="dxa" w:w="90"/>
              <w:right w:type="dxa" w:w="120"/>
            </w:tcMar>
          </w:tcPr>
          <w:p>
            <w:r>
              <w:rPr>
                <w:rFonts w:ascii="Calibri" w:cs="Calibri" w:eastAsia="Calibri" w:hAnsi="Calibri"/>
                <w:b w:val="false"/>
                <w:bCs w:val="false"/>
                <w:color w:val="111111"/>
                <w:sz w:val="19"/>
                <w:szCs w:val="19"/>
              </w:rPr>
              <w:t xml:space="preserve">Reviewed and judged not relevant</w:t>
            </w:r>
          </w:p>
        </w:tc>
      </w:tr>
    </w:tbl>
    <w:p>
      <w:pPr>
        <w:spacing w:after="160"/>
      </w:pPr>
    </w:p>
    <w:p>
      <w:pPr>
        <w:pStyle w:val="Heading2"/>
        <w:spacing w:after="120" w:before="300"/>
      </w:pPr>
      <w:r>
        <w:t xml:space="preserve">Supported languages</w:t>
      </w:r>
    </w:p>
    <w:p>
      <w:pPr>
        <w:spacing w:after="160" w:line="288"/>
      </w:pPr>
      <w:r>
        <w:rPr>
          <w:rFonts w:ascii="Calibri" w:cs="Calibri" w:eastAsia="Calibri" w:hAnsi="Calibri"/>
          <w:b w:val="false"/>
          <w:bCs w:val="false"/>
          <w:i w:val="false"/>
          <w:iCs w:val="false"/>
          <w:sz w:val="22"/>
          <w:szCs w:val="22"/>
        </w:rPr>
        <w:t xml:space="preserve">English, Spanish (Español), Korean (한국어), Chinese (中文), Arabic (العربية), Thai (ไทย).</w:t>
      </w:r>
    </w:p>
    <w:p>
      <w:pPr>
        <w:pStyle w:val="Heading1"/>
        <w:pBdr>
          <w:bottom w:val="single" w:color="C1502E" w:sz="10" w:space="6"/>
        </w:pBdr>
        <w:spacing w:after="160" w:before="420"/>
      </w:pPr>
      <w:r>
        <w:t xml:space="preserve">19. Known Limitations of This Build</w:t>
      </w:r>
    </w:p>
    <w:p>
      <w:pPr>
        <w:spacing w:after="160" w:line="288"/>
      </w:pPr>
      <w:r>
        <w:rPr>
          <w:rFonts w:ascii="Calibri" w:cs="Calibri" w:eastAsia="Calibri" w:hAnsi="Calibri"/>
          <w:b w:val="false"/>
          <w:bCs w:val="false"/>
          <w:i w:val="false"/>
          <w:iCs w:val="false"/>
          <w:sz w:val="22"/>
          <w:szCs w:val="22"/>
        </w:rPr>
        <w:t xml:space="preserve">This is a working prototype, not the production system described in the full specification. Being direct about the gap:</w:t>
      </w:r>
    </w:p>
    <w:p>
      <w:pPr>
        <w:pStyle w:val="ListParagraph"/>
        <w:numPr>
          <w:ilvl w:val="0"/>
          <w:numId w:val="2"/>
        </w:numPr>
        <w:spacing w:after="80" w:line="276"/>
      </w:pPr>
      <w:r>
        <w:rPr>
          <w:rFonts w:ascii="Calibri" w:cs="Calibri" w:eastAsia="Calibri" w:hAnsi="Calibri"/>
          <w:sz w:val="22"/>
          <w:szCs w:val="22"/>
        </w:rPr>
        <w:t xml:space="preserve">Data is stored locally to your browser session — there is no real multi-tenant database, authentication, or team accounts yet.</w:t>
      </w:r>
    </w:p>
    <w:p>
      <w:pPr>
        <w:pStyle w:val="ListParagraph"/>
        <w:numPr>
          <w:ilvl w:val="0"/>
          <w:numId w:val="2"/>
        </w:numPr>
        <w:spacing w:after="80" w:line="276"/>
      </w:pPr>
      <w:r>
        <w:rPr>
          <w:rFonts w:ascii="Calibri" w:cs="Calibri" w:eastAsia="Calibri" w:hAnsi="Calibri"/>
          <w:sz w:val="22"/>
          <w:szCs w:val="22"/>
        </w:rPr>
        <w:t xml:space="preserve">Voice input is real browser speech-to-text, but may be blocked by permission restrictions inside an embedded preview rather than a full browser tab.</w:t>
      </w:r>
    </w:p>
    <w:p>
      <w:pPr>
        <w:pStyle w:val="ListParagraph"/>
        <w:numPr>
          <w:ilvl w:val="0"/>
          <w:numId w:val="2"/>
        </w:numPr>
        <w:spacing w:after="80" w:line="276"/>
      </w:pPr>
      <w:r>
        <w:rPr>
          <w:rFonts w:ascii="Calibri" w:cs="Calibri" w:eastAsia="Calibri" w:hAnsi="Calibri"/>
          <w:sz w:val="22"/>
          <w:szCs w:val="22"/>
        </w:rPr>
        <w:t xml:space="preserve">There is no billing, subscription, or Stripe integration.</w:t>
      </w:r>
    </w:p>
    <w:p>
      <w:pPr>
        <w:pStyle w:val="ListParagraph"/>
        <w:numPr>
          <w:ilvl w:val="0"/>
          <w:numId w:val="2"/>
        </w:numPr>
        <w:spacing w:after="80" w:line="276"/>
      </w:pPr>
      <w:r>
        <w:rPr>
          <w:rFonts w:ascii="Calibri" w:cs="Calibri" w:eastAsia="Calibri" w:hAnsi="Calibri"/>
          <w:sz w:val="22"/>
          <w:szCs w:val="22"/>
        </w:rPr>
        <w:t xml:space="preserve">Double-counting protection uses a simplified same-input chain rule rather than a full causal event graph.</w:t>
      </w:r>
    </w:p>
    <w:p>
      <w:pPr>
        <w:pStyle w:val="ListParagraph"/>
        <w:numPr>
          <w:ilvl w:val="0"/>
          <w:numId w:val="2"/>
        </w:numPr>
        <w:spacing w:after="80" w:line="276"/>
      </w:pPr>
      <w:r>
        <w:rPr>
          <w:rFonts w:ascii="Calibri" w:cs="Calibri" w:eastAsia="Calibri" w:hAnsi="Calibri"/>
          <w:sz w:val="22"/>
          <w:szCs w:val="22"/>
        </w:rPr>
        <w:t xml:space="preserve">A handful of illustrative placeholder examples in form fields remain English-only.</w:t>
      </w:r>
    </w:p>
    <w:p>
      <w:pPr>
        <w:pStyle w:val="ListParagraph"/>
        <w:numPr>
          <w:ilvl w:val="0"/>
          <w:numId w:val="2"/>
        </w:numPr>
        <w:spacing w:after="80" w:line="276"/>
      </w:pPr>
      <w:r>
        <w:rPr>
          <w:rFonts w:ascii="Calibri" w:cs="Calibri" w:eastAsia="Calibri" w:hAnsi="Calibri"/>
          <w:sz w:val="22"/>
          <w:szCs w:val="22"/>
        </w:rPr>
        <w:t xml:space="preserve">There are no native mobile apps, SMS/WhatsApp integration, or accounting/ERP connections.</w:t>
      </w:r>
    </w:p>
    <w:p>
      <w:pPr>
        <w:spacing w:after="160" w:line="288"/>
      </w:pPr>
      <w:r>
        <w:rPr>
          <w:rFonts w:ascii="Calibri" w:cs="Calibri" w:eastAsia="Calibri" w:hAnsi="Calibri"/>
          <w:b w:val="false"/>
          <w:bCs w:val="false"/>
          <w:i w:val="false"/>
          <w:iCs w:val="false"/>
          <w:sz w:val="22"/>
          <w:szCs w:val="22"/>
        </w:rPr>
        <w:t xml:space="preserve">Every piece of core intelligence logic described in this manual — extraction, fact/signal/inference separation, deterministic risk scoring, the no-invented-numbers rule, alerting, the event graph, recurring-pattern and silent-risk detection, dashboards, the daily brief, grounded Q&amp;A, multi-language support, and voice input — is fully implemented and working in this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5"/>
        <w:sz w:val="15"/>
        <w:szCs w:val="15"/>
      </w:rPr>
      <w:t xml:space="preserve">FORESITE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pPr>
    <w:rPr>
      <w:rFonts w:ascii="Calibri" w:cs="Calibri" w:eastAsia="Calibri" w:hAnsi="Calibri"/>
      <w:b/>
      <w:bCs/>
      <w:color w:val="12203A"/>
      <w:sz w:val="34"/>
      <w:szCs w:val="34"/>
    </w:rPr>
  </w:style>
  <w:style w:type="paragraph" w:styleId="Heading2">
    <w:name w:val="Heading 2"/>
    <w:basedOn w:val="Normal"/>
    <w:next w:val="Normal"/>
    <w:qFormat/>
    <w:pPr>
      <w:spacing w:after="120" w:before="280"/>
    </w:pPr>
    <w:rPr>
      <w:rFonts w:ascii="Calibri" w:cs="Calibri" w:eastAsia="Calibri" w:hAnsi="Calibri"/>
      <w:b/>
      <w:bCs/>
      <w:color w:val="12203A"/>
      <w:sz w:val="26"/>
      <w:szCs w:val="26"/>
    </w:rPr>
  </w:style>
  <w:style w:type="paragraph" w:styleId="Heading3">
    <w:name w:val="Heading 3"/>
    <w:basedOn w:val="Normal"/>
    <w:next w:val="Normal"/>
    <w:qFormat/>
    <w:pPr>
      <w:spacing w:after="90" w:before="200"/>
    </w:pPr>
    <w:rPr>
      <w:rFonts w:ascii="Calibri" w:cs="Calibri" w:eastAsia="Calibri" w:hAnsi="Calibri"/>
      <w:b/>
      <w:bCs/>
      <w:color w:val="C1502E"/>
      <w:sz w:val="22"/>
      <w:szCs w:val="22"/>
    </w:rPr>
  </w:style>
  <w:style w:type="paragraph" w:styleId="Title">
    <w:name w:val="Title"/>
    <w:basedOn w:val="Normal"/>
    <w:next w:val="Normal"/>
    <w:rPr>
      <w:rFonts w:ascii="Calibri" w:cs="Calibri" w:eastAsia="Calibri" w:hAnsi="Calibri"/>
      <w:b/>
      <w:bCs/>
      <w:color w:val="12203A"/>
      <w:sz w:val="60"/>
      <w:szCs w:val="6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2026-09-06T08:01:50.084Z</dcterms:created>
  <dcterms:modified xsi:type="dcterms:W3CDTF">2026-09-06T08:01:50.085Z</dcterms:modified>
</cp:coreProperties>
</file>

<file path=docProps/custom.xml><?xml version="1.0" encoding="utf-8"?>
<Properties xmlns="http://schemas.openxmlformats.org/officeDocument/2006/custom-properties" xmlns:vt="http://schemas.openxmlformats.org/officeDocument/2006/docPropsVTypes"/>
</file>