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SERVICE AGREEMENT — SUMMARY OF KEY TERMS</w:t>
      </w:r>
    </w:p>
    <w:p>
      <w:r>
        <w:t xml:space="preserve">This Service Agreement (the "Agreement") is entered into on 15 March 2026 by and between Northbridge Consulting Ltd., a company registered in England under number 09876543 (the "Provider"), and Ms. Elena Kovalenko, residing at 24 Riverside Avenue, Manchester (the "Client").</w:t>
      </w:r>
    </w:p>
    <w:p>
      <w:r>
        <w:rPr>
          <w:b/>
        </w:rPr>
        <w:t xml:space="preserve">1. Scope of Services</w:t>
      </w:r>
    </w:p>
    <w:p>
      <w:r>
        <w:t xml:space="preserve">The Provider agrees to deliver strategic marketing consultancy, including market research, competitor analysis, and a quarterly performance review. All deliverables shall be submitted in electronic form no later than the fifth business day of each month.</w:t>
      </w:r>
    </w:p>
    <w:p>
      <w:r>
        <w:rPr>
          <w:b/>
        </w:rPr>
        <w:t xml:space="preserve">2. Fees and Payment</w:t>
      </w:r>
    </w:p>
    <w:p>
      <w:r>
        <w:t xml:space="preserve">The Client shall pay a monthly retainer of GBP 2,450.00, exclusive of VAT, within 14 calendar days of receiving a valid invoice. Late payments accrue interest at 4% per annum above the Bank of England base rate.</w:t>
      </w:r>
    </w:p>
    <w:p>
      <w:r>
        <w:rPr>
          <w:b/>
        </w:rPr>
        <w:t xml:space="preserve">3. Confidentiality</w:t>
      </w:r>
    </w:p>
    <w:p>
      <w:r>
        <w:t xml:space="preserve">Each party undertakes to keep confidential all technical, commercial, and financial information disclosed by the other party. This obligation survives termination of the Agreement for a period of five (5) years.</w:t>
      </w:r>
    </w:p>
    <w:p>
      <w:r>
        <w:rPr>
          <w:b/>
        </w:rPr>
        <w:t xml:space="preserve">4. Termination</w:t>
      </w:r>
    </w:p>
    <w:p>
      <w:r>
        <w:t xml:space="preserve">Either party may terminate this Agreement by giving thirty (30) days' written notice. The Provider may terminate immediately if an invoice remains unpaid for more than sixty (60) days.</w:t>
      </w:r>
    </w:p>
    <w:p>
      <w:r>
        <w:t xml:space="preserve">Please review the terms above carefully. Should you have any questions, contact our legal department at legal@northbridge-consulting.co.uk or by phone at +44 161 555 0142. We look forward to a productive cooperation.</w:t>
      </w:r>
    </w:p>
  </w:body>
</w:document>
</file>