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54D" w:rsidRPr="004D154D" w:rsidRDefault="004D154D" w:rsidP="004D1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Г</w:t>
      </w:r>
      <w:r w:rsidRPr="004D1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</w:t>
      </w:r>
      <w:bookmarkStart w:id="0" w:name="_GoBack"/>
      <w:bookmarkEnd w:id="0"/>
      <w:r w:rsidRPr="004D1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афік подання проектів, що можуть реалізовуватись за рахунок коштів державного, обласного та місцевих бюджетів за цільовими програмами</w:t>
      </w:r>
    </w:p>
    <w:p w:rsidR="004D154D" w:rsidRPr="004D154D" w:rsidRDefault="004D154D" w:rsidP="004D154D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4D15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uk-UA"/>
        </w:rPr>
        <w:t> </w:t>
      </w:r>
    </w:p>
    <w:tbl>
      <w:tblPr>
        <w:tblW w:w="14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3218"/>
        <w:gridCol w:w="2864"/>
        <w:gridCol w:w="5775"/>
        <w:gridCol w:w="2610"/>
      </w:tblGrid>
      <w:tr w:rsidR="004D154D" w:rsidRPr="004D154D" w:rsidTr="004D154D"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Напрям реалізації (програма)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Документи, що регламентують подання заявок</w:t>
            </w:r>
          </w:p>
        </w:tc>
        <w:tc>
          <w:tcPr>
            <w:tcW w:w="6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Напрямки подання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Термін подання</w:t>
            </w:r>
          </w:p>
        </w:tc>
      </w:tr>
      <w:tr w:rsidR="004D154D" w:rsidRPr="004D154D" w:rsidTr="004D154D"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5</w:t>
            </w:r>
          </w:p>
        </w:tc>
      </w:tr>
      <w:tr w:rsidR="004D154D" w:rsidRPr="004D154D" w:rsidTr="004D154D">
        <w:trPr>
          <w:trHeight w:val="179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Програма охорони довкілля та раціонального природокористування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Постанова КМУ від 17.09.1996 року №1147  та рішення обласної ради від 25.03.2011 №5 «Про порядок планування і використання коштів обласного цільового фонду охорони навколишнього середовища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after="0" w:line="240" w:lineRule="auto"/>
              <w:ind w:left="293" w:hanging="36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Охорона і раціональне використання водних ресурсів</w:t>
            </w:r>
          </w:p>
          <w:p w:rsidR="004D154D" w:rsidRPr="004D154D" w:rsidRDefault="004D154D" w:rsidP="004D154D">
            <w:pPr>
              <w:spacing w:after="0" w:line="240" w:lineRule="auto"/>
              <w:ind w:left="293" w:hanging="36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Охорона атмосферного повітря</w:t>
            </w:r>
          </w:p>
          <w:p w:rsidR="004D154D" w:rsidRPr="004D154D" w:rsidRDefault="004D154D" w:rsidP="004D154D">
            <w:pPr>
              <w:spacing w:after="0" w:line="240" w:lineRule="auto"/>
              <w:ind w:left="293" w:hanging="36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Охорона і раціональне використання земель</w:t>
            </w:r>
          </w:p>
          <w:p w:rsidR="004D154D" w:rsidRPr="004D154D" w:rsidRDefault="004D154D" w:rsidP="004D154D">
            <w:pPr>
              <w:spacing w:after="0" w:line="240" w:lineRule="auto"/>
              <w:ind w:left="293" w:hanging="36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Охорона та раціональне використання мінеральних ресурсів</w:t>
            </w:r>
          </w:p>
          <w:p w:rsidR="004D154D" w:rsidRPr="004D154D" w:rsidRDefault="004D154D" w:rsidP="004D154D">
            <w:pPr>
              <w:spacing w:after="0" w:line="240" w:lineRule="auto"/>
              <w:ind w:left="293" w:hanging="36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Охорона та раціональне використання природних рослинних ресурсів</w:t>
            </w:r>
          </w:p>
          <w:p w:rsidR="004D154D" w:rsidRPr="004D154D" w:rsidRDefault="004D154D" w:rsidP="004D154D">
            <w:pPr>
              <w:spacing w:after="0" w:line="240" w:lineRule="auto"/>
              <w:ind w:left="293" w:hanging="36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Охорона та раціональне використання ресурсів тваринного світу</w:t>
            </w:r>
          </w:p>
          <w:p w:rsidR="004D154D" w:rsidRPr="004D154D" w:rsidRDefault="004D154D" w:rsidP="004D154D">
            <w:pPr>
              <w:spacing w:after="0" w:line="240" w:lineRule="auto"/>
              <w:ind w:left="293" w:hanging="36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Збереження природно-заповідного фонду</w:t>
            </w:r>
          </w:p>
          <w:p w:rsidR="004D154D" w:rsidRPr="004D154D" w:rsidRDefault="004D154D" w:rsidP="004D154D">
            <w:pPr>
              <w:spacing w:after="0" w:line="240" w:lineRule="auto"/>
              <w:ind w:left="293" w:hanging="36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Раціональне використання і зберігання відходів виробництва і побутових відходів</w:t>
            </w:r>
          </w:p>
          <w:p w:rsidR="004D154D" w:rsidRPr="004D154D" w:rsidRDefault="004D154D" w:rsidP="004D154D">
            <w:pPr>
              <w:spacing w:after="0" w:line="240" w:lineRule="auto"/>
              <w:ind w:left="293" w:hanging="36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Ядерна і радіаційна безпека</w:t>
            </w:r>
          </w:p>
          <w:p w:rsidR="004D154D" w:rsidRPr="004D154D" w:rsidRDefault="004D154D" w:rsidP="004D154D">
            <w:pPr>
              <w:spacing w:after="0" w:line="240" w:lineRule="auto"/>
              <w:ind w:left="293" w:hanging="36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Впровадження економічного механізму забезпечення охорони навколишнього природного середовища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Щороку до кінця червня</w:t>
            </w:r>
          </w:p>
        </w:tc>
      </w:tr>
      <w:tr w:rsidR="004D154D" w:rsidRPr="004D154D" w:rsidTr="004D154D"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Субвенція з державного бюджету місцевим бюджетам на розвиток окремих територій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Запит департаменту економічного розвитку та регіональної політики, запити народних депутатів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 пріоритеті комплексне енергозбереження та енергоефективність об’єктів соціальної сфери</w:t>
            </w:r>
          </w:p>
          <w:p w:rsidR="004D154D" w:rsidRPr="004D154D" w:rsidRDefault="004D154D" w:rsidP="004D154D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+ наявні проекти щодо будівництва нових об’єктів, або реконструкції вже існуючих в сучасних умовах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Щороку (січень-лютий),</w:t>
            </w:r>
          </w:p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+ додатково добір до кінця липня</w:t>
            </w:r>
          </w:p>
        </w:tc>
      </w:tr>
      <w:tr w:rsidR="004D154D" w:rsidRPr="004D154D" w:rsidTr="004D154D"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Субвенція з державного бюджету </w:t>
            </w: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lastRenderedPageBreak/>
              <w:t>місцевим бюджетам на фінансування заходів соціально-економічної компенсації ризику населення, яке проживає на території зони спостереження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 xml:space="preserve">Факсограма </w:t>
            </w:r>
            <w:proofErr w:type="spellStart"/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Мінрегіону</w:t>
            </w:r>
            <w:proofErr w:type="spellEnd"/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враховуючи Постанову 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КМУ від 15.02.2012 року №91 «Про затвердження Порядку та умов надання субвенції з державного бюджету місцевим бюджетам на фінансування заходів соціально-економічної компенсації ризику населення, яке проживає на території зони спостереження»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 xml:space="preserve">Формування переліків з урахуванням пропорції, визначеної  розпорядженням КМУ  та першочергове 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включення  до фінансування об’єктів незавершеного будівництва (реалізація яких розпочалась в попередніх роках), </w:t>
            </w: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будівництво та ремонт захисних споруд ЦЗ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 </w:t>
            </w: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що пройшли інвентаризацію, закупівля ЗІЗ та препаратів стабільного йоду, навчання населення користуванню об’єктами соціальної інфраструктури</w:t>
            </w:r>
          </w:p>
          <w:p w:rsidR="004D154D" w:rsidRPr="004D154D" w:rsidRDefault="004D154D" w:rsidP="004D154D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+ будівництво, реконструкція капітальний ремонт, комплексне енергозбереження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 xml:space="preserve">Щороку червень </w:t>
            </w:r>
            <w:proofErr w:type="spellStart"/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-вересень</w:t>
            </w:r>
            <w:proofErr w:type="spellEnd"/>
          </w:p>
        </w:tc>
      </w:tr>
      <w:tr w:rsidR="004D154D" w:rsidRPr="004D154D" w:rsidTr="004D154D"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uk-UA"/>
              </w:rPr>
              <w:t>Конкурсний відбір інвестиційних програм і проектів регіонального розвитку, що можуть реалізовуватися за рахунок коштів державного фонду регіонального розвитку</w:t>
            </w:r>
          </w:p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Постанова Кабінету Міністрів України від 26.10.2017 №766 «Про внесення змін до Порядку підготовки, оцінки та відбору інвестиційних програм і проектів регіонального розвитку, що можуть реалізовуватися за рахунок коштів державного фонду регіонального розвитку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after="0" w:line="240" w:lineRule="auto"/>
              <w:ind w:left="459" w:hanging="4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«Енергоефективність державних і комунальних навчальних закладів»,</w:t>
            </w:r>
          </w:p>
          <w:p w:rsidR="004D154D" w:rsidRPr="004D154D" w:rsidRDefault="004D154D" w:rsidP="004D154D">
            <w:pPr>
              <w:spacing w:after="0" w:line="240" w:lineRule="auto"/>
              <w:ind w:left="459" w:hanging="4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«Енергоефективність державних і комунальних медичних закладів»,</w:t>
            </w:r>
          </w:p>
          <w:p w:rsidR="004D154D" w:rsidRPr="004D154D" w:rsidRDefault="004D154D" w:rsidP="004D154D">
            <w:pPr>
              <w:spacing w:after="0" w:line="240" w:lineRule="auto"/>
              <w:ind w:left="459" w:hanging="4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«Розвиток спортивної інфраструктури».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Щороку до травня місяця (в розрахунку на </w:t>
            </w:r>
            <w:proofErr w:type="spellStart"/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наступнийбюджетний</w:t>
            </w:r>
            <w:proofErr w:type="spellEnd"/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рік</w:t>
            </w:r>
          </w:p>
        </w:tc>
      </w:tr>
      <w:tr w:rsidR="004D154D" w:rsidRPr="004D154D" w:rsidTr="004D154D"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uk-UA"/>
              </w:rPr>
              <w:t xml:space="preserve">Конкурсний відбір </w:t>
            </w:r>
            <w:proofErr w:type="spellStart"/>
            <w:r w:rsidRPr="004D154D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uk-UA"/>
              </w:rPr>
              <w:t>мікропроектів</w:t>
            </w:r>
            <w:proofErr w:type="spellEnd"/>
            <w:r w:rsidRPr="004D154D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uk-UA"/>
              </w:rPr>
              <w:t xml:space="preserve"> місцевого розвитку, що  фінансуються  за рахунок коштів субвенції з обласного </w:t>
            </w:r>
            <w:r w:rsidRPr="004D154D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uk-UA"/>
              </w:rPr>
              <w:lastRenderedPageBreak/>
              <w:t>бюджету місцевим бюджетам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Рішення Миколаївської обласної ради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after="0" w:line="240" w:lineRule="auto"/>
              <w:ind w:left="34" w:firstLine="142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«Народні доми» - реконструкція, капітальний ремонт та енергозбереження;</w:t>
            </w:r>
          </w:p>
          <w:p w:rsidR="004D154D" w:rsidRPr="004D154D" w:rsidRDefault="004D154D" w:rsidP="004D154D">
            <w:pPr>
              <w:spacing w:after="0" w:line="240" w:lineRule="auto"/>
              <w:ind w:left="34" w:firstLine="142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ФАПи, амбулаторії сімейної медицини, ЦПСМД - реконструкція, капітальний ремонт та енергозбереження;</w:t>
            </w:r>
          </w:p>
          <w:p w:rsidR="004D154D" w:rsidRPr="004D154D" w:rsidRDefault="004D154D" w:rsidP="004D154D">
            <w:pPr>
              <w:spacing w:after="0" w:line="240" w:lineRule="auto"/>
              <w:ind w:left="34" w:firstLine="142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«Освітня галузь» - реконструкція, капітальний ремонт та енергозбереження, придбання обладнання 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та інвентарю;</w:t>
            </w:r>
          </w:p>
          <w:p w:rsidR="004D154D" w:rsidRPr="004D154D" w:rsidRDefault="004D154D" w:rsidP="004D154D">
            <w:pPr>
              <w:spacing w:after="0" w:line="240" w:lineRule="auto"/>
              <w:ind w:left="34" w:firstLine="142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«Вуличне освітлення» - реконструкція та капітальний ремонт»;</w:t>
            </w:r>
          </w:p>
          <w:p w:rsidR="004D154D" w:rsidRPr="004D154D" w:rsidRDefault="004D154D" w:rsidP="004D154D">
            <w:pPr>
              <w:spacing w:after="0" w:line="240" w:lineRule="auto"/>
              <w:ind w:left="34" w:firstLine="142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Надання допомоги для розвитку об’єднаних територіальних громад;</w:t>
            </w:r>
          </w:p>
          <w:p w:rsidR="004D154D" w:rsidRPr="004D154D" w:rsidRDefault="004D154D" w:rsidP="004D154D">
            <w:pPr>
              <w:spacing w:after="0" w:line="240" w:lineRule="auto"/>
              <w:ind w:left="34" w:firstLine="142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6.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uk-UA"/>
              </w:rPr>
              <w:t>            </w:t>
            </w:r>
            <w:r w:rsidRPr="004D1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Ремонт та покращення матеріальної бази спортивних об’єктів, які знаходяться у власності сільських та селищних рад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54D" w:rsidRPr="004D154D" w:rsidRDefault="004D154D" w:rsidP="004D15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D1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lastRenderedPageBreak/>
              <w:t>2017 рік</w:t>
            </w:r>
          </w:p>
        </w:tc>
      </w:tr>
    </w:tbl>
    <w:p w:rsidR="00C97BED" w:rsidRDefault="00C97BED"/>
    <w:sectPr w:rsidR="00C97BED" w:rsidSect="004D154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4D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154D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2549</Words>
  <Characters>1453</Characters>
  <Application>Microsoft Office Word</Application>
  <DocSecurity>0</DocSecurity>
  <Lines>12</Lines>
  <Paragraphs>7</Paragraphs>
  <ScaleCrop>false</ScaleCrop>
  <Company>SPecialiST RePack &amp; SanBuild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2018-04-11T13:37:00Z</dcterms:created>
  <dcterms:modified xsi:type="dcterms:W3CDTF">2018-04-11T13:39:00Z</dcterms:modified>
</cp:coreProperties>
</file>