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62" w:rsidRPr="00EB7F62" w:rsidRDefault="00EB7F62" w:rsidP="00EB7F62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EB7F62">
        <w:rPr>
          <w:rStyle w:val="a3"/>
          <w:iCs/>
          <w:color w:val="000000"/>
          <w:sz w:val="28"/>
          <w:szCs w:val="28"/>
        </w:rPr>
        <w:t>Які діти можуть бути влаштовані до дитячого будинку сімейного типу?</w:t>
      </w:r>
    </w:p>
    <w:bookmarkEnd w:id="0"/>
    <w:p w:rsidR="00EB7F62" w:rsidRPr="00EB7F62" w:rsidRDefault="00EB7F62" w:rsidP="00EB7F62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EB7F62">
        <w:rPr>
          <w:color w:val="000000"/>
          <w:sz w:val="28"/>
          <w:szCs w:val="28"/>
        </w:rPr>
        <w:t>До дитячого будинку сімейного типу влаштовуються діти, які мають визначений статус дитини-сироти або дитини, позбавленої батьківського піклування.</w:t>
      </w:r>
    </w:p>
    <w:p w:rsidR="00EB7F62" w:rsidRPr="00EB7F62" w:rsidRDefault="00EB7F62" w:rsidP="00EB7F62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EB7F62">
        <w:rPr>
          <w:color w:val="000000"/>
          <w:sz w:val="28"/>
          <w:szCs w:val="28"/>
        </w:rPr>
        <w:t>В першу чергу до дитячого будинку сімейного типу влаштовуються діти, які перебувають між собою у родинних стосунках, за винятком випадків, коли за медичними показаннями або з інших причин вони не можуть виховуватися разом.</w:t>
      </w:r>
    </w:p>
    <w:p w:rsidR="00EB7F62" w:rsidRPr="00EB7F62" w:rsidRDefault="00EB7F62" w:rsidP="00EB7F62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EB7F62">
        <w:rPr>
          <w:color w:val="000000"/>
          <w:sz w:val="28"/>
          <w:szCs w:val="28"/>
        </w:rPr>
        <w:t>Дитячий будинок сімейного типу комплектується дітьми протягом дванадцяти місяців з дня створення. Контроль за його комплектуванням здійснює місцева служба у справах дітей.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62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B7F62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B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EB7F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B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EB7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2018-04-22T07:09:00Z</dcterms:created>
  <dcterms:modified xsi:type="dcterms:W3CDTF">2018-04-22T07:09:00Z</dcterms:modified>
</cp:coreProperties>
</file>