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0" w:name="_GoBack"/>
      <w:bookmarkEnd w:id="0"/>
      <w:r w:rsidRPr="00AD3CD6">
        <w:rPr>
          <w:color w:val="000000"/>
        </w:rPr>
        <w:t>Зазначений закон та зміни до статті 51 Водного кодексу України змінюють існуючий підхід до процедури надання водних об’єктів в користування на умовах оренди.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Відповідно до прийнятих змін, чинне законодавство розрізняє різні процедури та принципи надання водних об’єктів.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По-перше, водосховища (крім водосховищ комплексного призначення), ставки, озера та замкнені природні водойми надаються в користування на умовах оренди відповідно та у порядку, передбаченому статтею 51 Водного кодексу України, для рибогосподарських потреб, культурно-оздоровчих, лікувальних, рекреаційних, спортивних і туристичних цілей, проведення науково-дослідних робіт.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Відповідно до статті 1 Водного кодексу України водосховище комплексного призначення – водосховище, яке відповідно до паспорта використовується для двох і більше цілей (крім рекреаційних).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Водні об’єкти надаються у користування на земельних торгах (статті 135-139 Земельного кодексу України) у комплексі із земельною ділянкою, органами, що здійснюють розпорядження земельними ділянками під водою (водним простором) згідно з повноваженнями, визначеними Земельним кодексом України (при цьому віднесення водного об’єкта до загальнодержавного або місцевого не має значення), відповідно до договору оренди, погодженого з територіальними органами Державного агентства водних ресурсів України.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Типовий договір оренди водних об’єктів затверджено постановою Кабінету Міністрів України від 29.05.2013 року № 420,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У договорі оренди водного об’єкта визначаються зобов’язання щодо здійснення заходів з охорон та поліпшення екологічного стану водного об’єкта, експлуатації водосховищ та ставків відповідно до встановлених для них територіальними органами Державного агентства водних ресурсів України, режимів роботи, а також необхідність оформлення права користування гідротехнічними спорудами.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Крім того, типовим договором оренди передбачено відповідальність орендаря за шкоду, що може бути нанесена третім особам, внаслідок неналежного виконання умов договору.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Надання водних об’єктів у користування на умовах оренди здійснюється за наявності паспорта водного об’єкта. Порядок розроблення паспорта водного об’єкта затверджено наказом Міністерства екології та природних ресурсів від 18.03.2013 року № 99 та затверджено в Міністерстві юстиції України 18.05.2013 року за № 775/23307.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Методику визначення розміру плати за надані в оренду водні об’єкти затверджено наказом Міністерства екології та природних ресурсів від 28.05.2013 року № 236 та зареєстровано в Міністерстві юстиції 17.06.2013 за № 986/23518.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Крім того, звертаємо увагу, що відповідно до статті 51 Водного кодексу України водні об’єкти надаються в користування на умовах оренди без обмеження права загального водокористування, крім випадків, визначених законом.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Так , зокрема у статті 47 Водного кодексу України передбачені можливість та порядок обмеження права загального водокористування.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Відповідно до положень зазначеної статті на водних об’єктах, наданих в оренду, загальне водокористування допускається на умовах, встановлених водокористувачем, за погодженням з органами, який надав водний об’єкт в оренду, що може бути врегульовано у договорі оренди або у додатковій угоді між ними.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Водокористувач (орендар), який узяв водний об’єкт у користування на умовах оренди, зобов’язаний доводити до відома населення умови водокористування, а також про заборону загального водокористування на водному об’єкті, наданому в оренду.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Орендарі водного об’єкта зобов’язані передбачити місця для безоплатного забезпечення права громадян на загальне водокористування (купання, плавання на човнах, любительське і спортивне рибальства тощо).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lastRenderedPageBreak/>
        <w:t>З наведеного вбачається, що громадяни України мають право реалізовувати свої права на загальне водокористування у передбачених для цього місцях.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При визначенні таких місць перевага надається традиційно розташованим місцям масового відпочинку.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Якщо водокористувачем (орендарем) не встановлено таких умов, загальне водокористування визнається дозволеним без обмежень, а заборона загального водокористування водними об’єктами, наданими в користування на умовах оренди є підставою для розірвання договору оренди.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По-друге, частини рибогосподарських водних об’єктів, рибогосподарські технологічні водойми, акваторії (водний простір) внутрішніх морських вод, територіального моря, виключної (морської) економічної зони України, надаються в користування на умовах оренди відповідно до статті 14 Закону України «Про аквакультуру» для цілей аквакультури.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Рибогосподарською технологічною водоймою є штучно створена водойма спеціального технологічного призначення, що визначається технічним проектом та/або паспортом, яка наповнюється штучно за допомогою гідротехнічних споруд і пристроїв та призначена для створення умов існування і розвитку об’єктів аквакультури (до зазначених водойм відносяться водойми державних та комунальних підприємств рибогосподарської галузі).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Щодо орендодавців, то відповідно до статті 122 Земельного кодексу України повноваження щодо надання водних об’єктів у користування на умовах оренди у межах населених пунктів належать сільським, селищним та міським радам, а за межами населених пунктів – Раді міністрів Автономної Республіки Крим та обласним державним адміністраціям.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Щодо водного об’єкта, частина якого розташована в межах населеного пункту, а інша частина за його межами, то одним із способів надання такого об’єкта в оренду шляхом зміни меж населеного пункту таким чином, щоб весь водний об’єкт знаходився в межах населеного пункту або за його межами. Зміна меж населеного пункту здійснюється у порядку, передбаченому статтями 173-176 Земельного кодексу України. Також можливим є передача частини земельної ділянки (дна водного об’єкта) у комунальну власність чи земельних ділянок комунальної власності у державну власність (стаття 117 Земельного кодексу України).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Щодо діючих договорів укладених до 01.07.2013, то відповідно до статті 651 Цивільного кодексу України зміна або розірвання договору допускається лише за згодою сторін, якщо інше не встановлено договором або законом.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Відповідно до статті 652 Цивільного кодексу України у разі істотної зміни обставин, якими сторони керувалися при укладанні договору, договір може бути змінений або розірваний за згодою сторін, якщо інше не встановлено договором або не випливає із суті зобов’язання.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Разом з цим, відповідно до статті 770 Цивільного кодексу України у разі зміни власника речі, переданої у найм (оренду), до нового власника переходять права та обов’язки наймодавця (орендодавця), якщо інше не передбачено договором.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Крім того, відповідно до статті 32 Закону України «Про оренду землі» перехід права власності на орендовану земельну ділянку до іншої особи, а також реорганізація юридичної особи-орендаря не є підставою для зміни умов договору, якщо інше не передбачено договором.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 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Начальник управління агропромислового</w:t>
      </w:r>
    </w:p>
    <w:p w:rsidR="00AD3CD6" w:rsidRPr="00AD3CD6" w:rsidRDefault="00AD3CD6" w:rsidP="00AD3CD6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D3CD6">
        <w:rPr>
          <w:color w:val="000000"/>
        </w:rPr>
        <w:t>розвитку райдержадміністрації І.Є.</w:t>
      </w:r>
      <w:proofErr w:type="spellStart"/>
      <w:r w:rsidRPr="00AD3CD6">
        <w:rPr>
          <w:color w:val="000000"/>
        </w:rPr>
        <w:t>Чмирьова</w:t>
      </w:r>
      <w:proofErr w:type="spellEnd"/>
    </w:p>
    <w:p w:rsidR="00C97BED" w:rsidRPr="00AD3CD6" w:rsidRDefault="00C97BED" w:rsidP="00AD3CD6">
      <w:pPr>
        <w:spacing w:after="0" w:line="240" w:lineRule="auto"/>
        <w:ind w:firstLine="709"/>
        <w:jc w:val="both"/>
        <w:rPr>
          <w:sz w:val="24"/>
          <w:szCs w:val="24"/>
        </w:rPr>
      </w:pPr>
    </w:p>
    <w:sectPr w:rsidR="00C97BED" w:rsidRPr="00AD3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D6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3CD6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D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D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4378</Words>
  <Characters>2497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2018-04-23T08:27:00Z</dcterms:created>
  <dcterms:modified xsi:type="dcterms:W3CDTF">2018-04-23T08:33:00Z</dcterms:modified>
</cp:coreProperties>
</file>