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Cuadros Sinópticos de Botones Principales en un Osciloscopio</w:t>
      </w:r>
    </w:p>
    <w:p>
      <w:pPr>
        <w:pStyle w:val="Heading2"/>
      </w:pPr>
      <w:r>
        <w:rPr>
          <w:b/>
        </w:rPr>
        <w:t>CH1 (Canal 1)</w:t>
      </w:r>
    </w:p>
    <w:p>
      <w:pPr>
        <w:jc w:val="both"/>
      </w:pPr>
      <w:r>
        <w:rPr>
          <w:sz w:val="24"/>
        </w:rPr>
        <w:t>Activa o desactiva la visualización del canal 1. Permite configurar la escala de voltaje y el acoplamiento de entrada.</w:t>
      </w:r>
    </w:p>
    <w:p/>
    <w:p>
      <w:pPr>
        <w:pStyle w:val="Heading2"/>
      </w:pPr>
      <w:r>
        <w:rPr>
          <w:b/>
        </w:rPr>
        <w:t>Measure (Medir)</w:t>
      </w:r>
    </w:p>
    <w:p>
      <w:pPr>
        <w:jc w:val="both"/>
      </w:pPr>
      <w:r>
        <w:rPr>
          <w:sz w:val="24"/>
        </w:rPr>
        <w:t>Accede a las funciones de medición automáticas como frecuencia, amplitud y período.</w:t>
      </w:r>
    </w:p>
    <w:p/>
    <w:p>
      <w:pPr>
        <w:pStyle w:val="Heading2"/>
      </w:pPr>
      <w:r>
        <w:rPr>
          <w:b/>
        </w:rPr>
        <w:t>Cursores</w:t>
      </w:r>
    </w:p>
    <w:p>
      <w:pPr>
        <w:jc w:val="both"/>
      </w:pPr>
      <w:r>
        <w:rPr>
          <w:sz w:val="24"/>
        </w:rPr>
        <w:t>Activa los cursores para mediciones manuales de tiempo y voltaje en la pantalla.</w:t>
      </w:r>
    </w:p>
    <w:p/>
    <w:p>
      <w:pPr>
        <w:pStyle w:val="Heading2"/>
      </w:pPr>
      <w:r>
        <w:rPr>
          <w:b/>
        </w:rPr>
        <w:t>Utility (Utilidad)</w:t>
      </w:r>
    </w:p>
    <w:p>
      <w:pPr>
        <w:jc w:val="both"/>
      </w:pPr>
      <w:r>
        <w:rPr>
          <w:sz w:val="24"/>
        </w:rPr>
        <w:t>Abre un menú de ajustes adicionales y utilidades del osciloscopio, como configuraciones del sistema y opciones de almacenamiento.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