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m:oMath xmlns:mml="http://www.w3.org/1998/Math/MathML">
        <m:r>
          <m:t>x=</m:t>
        </m:r>
        <m:f>
          <m:fPr>
            <m:type m:val="bar"/>
          </m:fPr>
          <m:num>
            <m:r>
              <m:t>−b±</m:t>
            </m:r>
            <m:rad>
              <m:radPr>
                <m:degHide m:val="on"/>
              </m:radPr>
              <m:deg/>
              <m:e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  <m:r>
                  <m:t>−4ac</m:t>
                </m:r>
                <m:r>
                  <m:rPr>
                    <m:nor/>
                  </m:rPr>
                  <m:t> </m:t>
                </m:r>
              </m:e>
            </m:rad>
          </m:num>
          <m:den>
            <m:r>
              <m:t>2a</m:t>
            </m:r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