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z" ContentType="image/svg+xml"/>
  <Override PartName="/word/media/rId48.png" ContentType="image/png"/>
  <Override PartName="/word/media/rId142.svgz" ContentType="image/svg+xml"/>
  <Override PartName="/word/media/rId150.svgz" ContentType="image/svg+xml"/>
  <Override PartName="/word/media/rId172.svgz" ContentType="image/svg+xml"/>
  <Override PartName="/word/media/rId35.png" ContentType="image/png"/>
  <Override PartName="/word/media/rId85.svgz" ContentType="image/svg+xml"/>
  <Override PartName="/word/media/rId93.svgz" ContentType="image/svg+xml"/>
  <Override PartName="/word/media/rId82.png" ContentType="image/png"/>
  <Override PartName="/word/media/rId145.png" ContentType="image/png"/>
  <Override PartName="/word/media/rId153.png" ContentType="image/png"/>
  <Override PartName="/word/media/rId175.png" ContentType="image/png"/>
  <Override PartName="/word/media/rId47.png" ContentType="image/png"/>
  <Override PartName="/word/media/rId8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 User 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0" w:name="what-classbuilder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Concepts and terminology</w:t>
      </w:r>
    </w:p>
    <w:bookmarkStart w:id="25" w:name="the-mode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</w:t>
      </w:r>
      <w:r>
        <w:t xml:space="preserve"> </w:t>
      </w:r>
      <w:r>
        <w:t xml:space="preserve">edges, with virtual/access modifiers.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(ClassGroups inside the model or inside MetaGroups) to organize large models; purely organizational.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 and project files</w:t>
      </w:r>
    </w:p>
    <w:bookmarkStart w:id="30" w:name="the-applic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55" w:name="quick-start-the-matrix-mode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38" w:name="step-1-create-the-mode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New Model wizard: model name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</w:t>
      </w:r>
      <w:r>
        <w:rPr>
          <w:iCs/>
          <w:i/>
        </w:rPr>
        <w:t xml:space="preserve">”</w:t>
      </w:r>
      <w:r>
        <w:rPr>
          <w:iCs/>
          <w:i/>
        </w:rPr>
        <w:t xml:space="preserve">, master include file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Matrix.h</w:t>
      </w:r>
      <w:r>
        <w:rPr>
          <w:iCs/>
          <w:i/>
        </w:rPr>
        <w:t xml:space="preserve">”</w:t>
      </w:r>
      <w:r>
        <w:rPr>
          <w:iCs/>
          <w:i/>
        </w:rPr>
        <w:t xml:space="preserve">, the Serialize checkbox ticked and Document class name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</w:t>
      </w:r>
      <w:r>
        <w:rPr>
          <w:iCs/>
          <w:i/>
        </w:rPr>
        <w:t xml:space="preserve">”</w:t>
      </w:r>
      <w:r>
        <w:rPr>
          <w:iCs/>
          <w:i/>
        </w:rPr>
        <w:t xml:space="preserve">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Creating a serialize-enabled model. The Serialize choice is one-off — it cannot be changed later.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38"/>
    <w:bookmarkStart w:id="39" w:name="step-2-add-the-classe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Class dialog for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Row</w:t>
      </w:r>
      <w:r>
        <w:rPr>
          <w:iCs/>
          <w:i/>
        </w:rPr>
        <w:t xml:space="preserve">”</w:t>
      </w:r>
      <w:r>
        <w:rPr>
          <w:iCs/>
          <w:i/>
        </w:rPr>
        <w:t xml:space="preserve">: Class Name, Source/Include File fields, the Properties group (Replace / Dll Export / Serialize / Struct / Relation Macros Last), Member Prefix,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 dialog. With Serialize ticked, the class inherits the model’s document-object root automatically.</w:t>
      </w:r>
      <w:r>
        <w:rPr>
          <w:iCs/>
          <w:i/>
        </w:rPr>
        <w:t xml:space="preserve">”</w:t>
      </w:r>
    </w:p>
    <w:bookmarkEnd w:id="39"/>
    <w:bookmarkStart w:id="40" w:name="step-3-add-member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Member dialog for Row.id: Type combo, Name, the type-property checkboxes (Const/Reference/Pointer/Array/Bit Field…), Access radio group, Get/Set method groups, Initial Value, Serialize checkbox,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Member dialog. Getter/setter generation and the serialize flag are per-member choices.</w:t>
      </w:r>
      <w:r>
        <w:rPr>
          <w:iCs/>
          <w:i/>
        </w:rPr>
        <w:t xml:space="preserve">”</w:t>
      </w:r>
    </w:p>
    <w:bookmarkEnd w:id="40"/>
    <w:bookmarkStart w:id="41" w:name="step-4-add-the-relation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Relation dialog for Row→Cell: From/To class combos and role names, Association Type radio group (Single / Multi / Static Multi), Association Properties (Aggregation / Critical / Filter), Implementation group (Standard / Value Tree / AVL Tree, Unique).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relation: kind, ownership, thread-safety, and container implementation are all declared here — the code is generated.</w:t>
      </w:r>
      <w:r>
        <w:rPr>
          <w:iCs/>
          <w:i/>
        </w:rPr>
        <w:t xml:space="preserve">”</w:t>
      </w:r>
    </w:p>
    <w:bookmarkEnd w:id="41"/>
    <w:bookmarkStart w:id="42" w:name="X267736c760e32dc6d865ac46fc2c6b29b8f25a5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NormalTok"/>
        </w:rPr>
        <w:t xml:space="preserve">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version written into every save (chapter 13)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42"/>
    <w:bookmarkStart w:id="43" w:name="step-6-a-find-method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43"/>
    <w:bookmarkStart w:id="51" w:name="step-7-a-class-diagram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771120"/>
            <wp:effectExtent b="0" l="0" r="0" t="0"/>
            <wp:docPr descr="The Matrix Overview class diagram as exported by ClassBuilder (Export SVG). Diamonds mark owned (aggregation) relations; 1/* are the multiplicities." title="" id="45" name="Picture"/>
            <a:graphic>
              <a:graphicData uri="http://schemas.openxmlformats.org/drawingml/2006/picture">
                <pic:pic>
                  <pic:nvPicPr>
                    <pic:cNvPr descr="images/cd-matrix-overview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class-diagram view opens as a dockable window over the shell — dock it, tab it, or float it." title="" id="49" name="Picture"/>
            <a:graphic>
              <a:graphicData uri="http://schemas.openxmlformats.org/drawingml/2006/picture">
                <pic:pic>
                  <pic:nvPicPr>
                    <pic:cNvPr descr="images/cd-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51"/>
    <w:bookmarkStart w:id="52" w:name="step-8-generate-the-sourc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and a protected block (</w:t>
      </w:r>
      <w:r>
        <w:rPr>
          <w:rStyle w:val="VerbatimChar"/>
        </w:rPr>
        <w:t xml:space="preserve">//{{AFX DO NOT EDIT ...</w:t>
      </w:r>
      <w:r>
        <w:t xml:space="preserve">) with the generated relation and serialize machinery.</w:t>
      </w:r>
    </w:p>
    <w:bookmarkEnd w:id="52"/>
    <w:bookmarkStart w:id="53" w:name="step-9-compile-and-run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"matrix.cbz"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"matrix.cbz"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53"/>
    <w:bookmarkStart w:id="54" w:name="step-10-the-round-trip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54"/>
    <w:bookmarkEnd w:id="55"/>
    <w:bookmarkStart w:id="60" w:name="reference-the-application-shell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Reference: the application shell</w:t>
      </w:r>
    </w:p>
    <w:bookmarkStart w:id="56" w:name="menu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bookmarkEnd w:id="56"/>
    <w:bookmarkStart w:id="57" w:name="the-main-toolbar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57"/>
    <w:bookmarkStart w:id="58" w:name="docking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Views of one model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together by default; the tab is the drag handle.</w:t>
      </w:r>
    </w:p>
    <w:p>
      <w:pPr>
        <w:numPr>
          <w:ilvl w:val="0"/>
          <w:numId w:val="1006"/>
        </w:numPr>
        <w:pStyle w:val="Compact"/>
      </w:pPr>
      <w:r>
        <w:t xml:space="preserve">Drag a tab off its row to</w:t>
      </w:r>
      <w:r>
        <w:t xml:space="preserve"> </w:t>
      </w:r>
      <w:r>
        <w:rPr>
          <w:bCs/>
          <w:b/>
        </w:rPr>
        <w:t xml:space="preserve">float</w:t>
      </w:r>
      <w:r>
        <w:t xml:space="preserve"> </w:t>
      </w:r>
      <w:r>
        <w:t xml:space="preserve">the view as its own window; drag it back to re-dock (drop indicators show split vs. tab targets).</w:t>
      </w:r>
    </w:p>
    <w:p>
      <w:pPr>
        <w:numPr>
          <w:ilvl w:val="0"/>
          <w:numId w:val="1006"/>
        </w:numPr>
        <w:pStyle w:val="Compact"/>
      </w:pPr>
      <w:r>
        <w:t xml:space="preserve">Any pane can be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horizontally/vertically by dropping a view on a pane edge.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58"/>
    <w:bookmarkStart w:id="59" w:name="platforms-and-key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59"/>
    <w:bookmarkEnd w:id="60"/>
    <w:bookmarkStart w:id="67" w:name="reference-the-main-tree-view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element, in its structure. Multiple models open side by side as tabs; trees and diagram views dock, tab, split and float freely.</w:t>
      </w:r>
    </w:p>
    <w:bookmarkStart w:id="61" w:name="what-the-tree-show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61"/>
    <w:bookmarkStart w:id="62" w:name="the-tree-toolbar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62"/>
    <w:bookmarkStart w:id="63" w:name="the-context-menu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63"/>
    <w:bookmarkStart w:id="64" w:name="filter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64"/>
    <w:bookmarkStart w:id="65" w:name="delete-multipl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65"/>
    <w:bookmarkStart w:id="66" w:name="drag-and-copy-drag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66"/>
    <w:bookmarkEnd w:id="67"/>
    <w:bookmarkStart w:id="81" w:name="reference-class-diagram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68" w:name="reading-the-diagram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68"/>
    <w:bookmarkStart w:id="69" w:name="selection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69"/>
    <w:bookmarkStart w:id="70" w:name="moving-and-resiz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70"/>
    <w:bookmarkStart w:id="71" w:name="editing-connection-routing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71"/>
    <w:bookmarkStart w:id="72" w:name="members-and-methods-inside-the-box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72"/>
    <w:bookmarkStart w:id="73" w:name="notes-and-their-connection-poin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73"/>
    <w:bookmarkStart w:id="74" w:name="creating-elements-on-the-canvas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74"/>
    <w:bookmarkStart w:id="75" w:name="align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75"/>
    <w:bookmarkStart w:id="76" w:name="hiding-per-shape-toggles-colors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76"/>
    <w:bookmarkStart w:id="77" w:name="zoom-and-pan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77"/>
    <w:bookmarkStart w:id="78" w:name="the-cd-toolbar"/>
    <w:p>
      <w:pPr>
        <w:pStyle w:val="Heading2"/>
      </w:pPr>
      <w:r>
        <w:rPr>
          <w:rStyle w:val="SectionNumber"/>
        </w:rPr>
        <w:t xml:space="preserve">7.11</w:t>
      </w:r>
      <w:r>
        <w:tab/>
      </w: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78"/>
    <w:bookmarkStart w:id="79" w:name="the-cd-context-menu"/>
    <w:p>
      <w:pPr>
        <w:pStyle w:val="Heading2"/>
      </w:pPr>
      <w:r>
        <w:rPr>
          <w:rStyle w:val="SectionNumber"/>
        </w:rPr>
        <w:t xml:space="preserve">7.12</w:t>
      </w:r>
      <w:r>
        <w:tab/>
      </w: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79"/>
    <w:bookmarkStart w:id="80" w:name="canvas-keys"/>
    <w:p>
      <w:pPr>
        <w:pStyle w:val="Heading2"/>
      </w:pPr>
      <w:r>
        <w:rPr>
          <w:rStyle w:val="SectionNumber"/>
        </w:rPr>
        <w:t xml:space="preserve">7.13</w:t>
      </w:r>
      <w:r>
        <w:tab/>
      </w: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80"/>
    <w:bookmarkEnd w:id="81"/>
    <w:bookmarkStart w:id="98" w:name="reference-sequence-diagram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83" name="Picture"/>
            <a:graphic>
              <a:graphicData uri="http://schemas.openxmlformats.org/drawingml/2006/picture">
                <pic:pic>
                  <pic:nvPicPr>
                    <pic:cNvPr descr="images/sd-vie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86" name="Picture"/>
            <a:graphic>
              <a:graphicData uri="http://schemas.openxmlformats.org/drawingml/2006/picture">
                <pic:pic>
                  <pic:nvPicPr>
                    <pic:cNvPr descr="images/sd-create.sv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89" w:name="building-on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89"/>
    <w:bookmarkStart w:id="90" w:name="what-moves-and-how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90"/>
    <w:bookmarkStart w:id="91" w:name="keeping-it-readable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91"/>
    <w:bookmarkStart w:id="92" w:name="toolbar-colors-zoom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92"/>
    <w:bookmarkStart w:id="97" w:name="canvas-keys-1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94" name="Picture"/>
            <a:graphic>
              <a:graphicData uri="http://schemas.openxmlformats.org/drawingml/2006/picture">
                <pic:pic>
                  <pic:nvPicPr>
                    <pic:cNvPr descr="images/sd-ctor-walkthrough.sv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97"/>
    <w:bookmarkEnd w:id="98"/>
    <w:bookmarkStart w:id="131" w:name="reference-dialog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99" w:name="clas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99"/>
    <w:bookmarkStart w:id="100" w:name="external-clas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00"/>
    <w:bookmarkStart w:id="101" w:name="member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01"/>
    <w:bookmarkStart w:id="102" w:name="metho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02"/>
    <w:bookmarkStart w:id="103" w:name="constructor-destructor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03"/>
    <w:bookmarkStart w:id="104" w:name="exception-specification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04"/>
    <w:bookmarkStart w:id="105" w:name="argument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05"/>
    <w:bookmarkStart w:id="106" w:name="inheritance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06"/>
    <w:bookmarkStart w:id="107" w:name="relation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07"/>
    <w:bookmarkStart w:id="108" w:name="find-method-on-a-relation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08"/>
    <w:bookmarkStart w:id="109" w:name="dependency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09"/>
    <w:bookmarkStart w:id="110" w:name="relation-diagram-only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10"/>
    <w:bookmarkStart w:id="111" w:name="type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11"/>
    <w:bookmarkStart w:id="112" w:name="group-meta-group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12"/>
    <w:bookmarkStart w:id="113" w:name="context-define-and-assign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13"/>
    <w:bookmarkStart w:id="114" w:name="actor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14"/>
    <w:bookmarkStart w:id="115" w:name="class-diagram"/>
    <w:p>
      <w:pPr>
        <w:pStyle w:val="Heading2"/>
      </w:pPr>
      <w:r>
        <w:rPr>
          <w:rStyle w:val="SectionNumber"/>
        </w:rPr>
        <w:t xml:space="preserve">9.17</w:t>
      </w:r>
      <w:r>
        <w:tab/>
      </w: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15"/>
    <w:bookmarkStart w:id="116" w:name="sequence-diagram"/>
    <w:p>
      <w:pPr>
        <w:pStyle w:val="Heading2"/>
      </w:pPr>
      <w:r>
        <w:rPr>
          <w:rStyle w:val="SectionNumber"/>
        </w:rPr>
        <w:t xml:space="preserve">9.18</w:t>
      </w:r>
      <w:r>
        <w:tab/>
      </w: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16"/>
    <w:bookmarkStart w:id="117" w:name="select-classes"/>
    <w:p>
      <w:pPr>
        <w:pStyle w:val="Heading2"/>
      </w:pPr>
      <w:r>
        <w:rPr>
          <w:rStyle w:val="SectionNumber"/>
        </w:rPr>
        <w:t xml:space="preserve">9.19</w:t>
      </w:r>
      <w:r>
        <w:tab/>
      </w: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17"/>
    <w:bookmarkStart w:id="118" w:name="class-shape"/>
    <w:p>
      <w:pPr>
        <w:pStyle w:val="Heading2"/>
      </w:pPr>
      <w:r>
        <w:rPr>
          <w:rStyle w:val="SectionNumber"/>
        </w:rPr>
        <w:t xml:space="preserve">9.20</w:t>
      </w:r>
      <w:r>
        <w:tab/>
      </w: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18"/>
    <w:bookmarkStart w:id="119" w:name="select-members-methods"/>
    <w:p>
      <w:pPr>
        <w:pStyle w:val="Heading2"/>
      </w:pPr>
      <w:r>
        <w:rPr>
          <w:rStyle w:val="SectionNumber"/>
        </w:rPr>
        <w:t xml:space="preserve">9.21</w:t>
      </w:r>
      <w:r>
        <w:tab/>
      </w: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19"/>
    <w:bookmarkStart w:id="120" w:name="reorder-members-methods"/>
    <w:p>
      <w:pPr>
        <w:pStyle w:val="Heading2"/>
      </w:pPr>
      <w:r>
        <w:rPr>
          <w:rStyle w:val="SectionNumber"/>
        </w:rPr>
        <w:t xml:space="preserve">9.22</w:t>
      </w:r>
      <w:r>
        <w:tab/>
      </w: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20"/>
    <w:bookmarkStart w:id="121" w:name="signal-message"/>
    <w:p>
      <w:pPr>
        <w:pStyle w:val="Heading2"/>
      </w:pPr>
      <w:r>
        <w:rPr>
          <w:rStyle w:val="SectionNumber"/>
        </w:rPr>
        <w:t xml:space="preserve">9.23</w:t>
      </w:r>
      <w:r>
        <w:tab/>
      </w: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21"/>
    <w:bookmarkStart w:id="122" w:name="lifeline-note-dialogs"/>
    <w:p>
      <w:pPr>
        <w:pStyle w:val="Heading2"/>
      </w:pPr>
      <w:r>
        <w:rPr>
          <w:rStyle w:val="SectionNumber"/>
        </w:rPr>
        <w:t xml:space="preserve">9.24</w:t>
      </w:r>
      <w:r>
        <w:tab/>
      </w: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22"/>
    <w:bookmarkStart w:id="123" w:name="Xb9470c6e63f702dcde05f89c7607c45c6bcf312"/>
    <w:p>
      <w:pPr>
        <w:pStyle w:val="Heading2"/>
      </w:pPr>
      <w:r>
        <w:rPr>
          <w:rStyle w:val="SectionNumber"/>
        </w:rPr>
        <w:t xml:space="preserve">9.25</w:t>
      </w:r>
      <w:r>
        <w:tab/>
      </w: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23"/>
    <w:bookmarkStart w:id="124" w:name="add-serialization-to-project"/>
    <w:p>
      <w:pPr>
        <w:pStyle w:val="Heading2"/>
      </w:pPr>
      <w:r>
        <w:rPr>
          <w:rStyle w:val="SectionNumber"/>
        </w:rPr>
        <w:t xml:space="preserve">9.26</w:t>
      </w:r>
      <w:r>
        <w:tab/>
      </w: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24"/>
    <w:bookmarkStart w:id="125" w:name="find"/>
    <w:p>
      <w:pPr>
        <w:pStyle w:val="Heading2"/>
      </w:pPr>
      <w:r>
        <w:rPr>
          <w:rStyle w:val="SectionNumber"/>
        </w:rPr>
        <w:t xml:space="preserve">9.27</w:t>
      </w:r>
      <w:r>
        <w:tab/>
      </w: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25"/>
    <w:bookmarkStart w:id="126" w:name="read-source"/>
    <w:p>
      <w:pPr>
        <w:pStyle w:val="Heading2"/>
      </w:pPr>
      <w:r>
        <w:rPr>
          <w:rStyle w:val="SectionNumber"/>
        </w:rPr>
        <w:t xml:space="preserve">9.28</w:t>
      </w:r>
      <w:r>
        <w:tab/>
      </w: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26"/>
    <w:bookmarkStart w:id="127" w:name="save-source"/>
    <w:p>
      <w:pPr>
        <w:pStyle w:val="Heading2"/>
      </w:pPr>
      <w:r>
        <w:rPr>
          <w:rStyle w:val="SectionNumber"/>
        </w:rPr>
        <w:t xml:space="preserve">9.29</w:t>
      </w:r>
      <w:r>
        <w:tab/>
      </w: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27"/>
    <w:bookmarkStart w:id="128" w:name="virtual-methods-isclass-methods"/>
    <w:p>
      <w:pPr>
        <w:pStyle w:val="Heading2"/>
      </w:pPr>
      <w:r>
        <w:rPr>
          <w:rStyle w:val="SectionNumber"/>
        </w:rPr>
        <w:t xml:space="preserve">9.30</w:t>
      </w:r>
      <w:r>
        <w:tab/>
      </w: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28"/>
    <w:bookmarkStart w:id="129" w:name="user-sections-code-dialogs"/>
    <w:p>
      <w:pPr>
        <w:pStyle w:val="Heading2"/>
      </w:pPr>
      <w:r>
        <w:rPr>
          <w:rStyle w:val="SectionNumber"/>
        </w:rPr>
        <w:t xml:space="preserve">9.31</w:t>
      </w:r>
      <w:r>
        <w:tab/>
      </w: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29"/>
    <w:bookmarkStart w:id="130" w:name="code-editing-helper-wizards"/>
    <w:p>
      <w:pPr>
        <w:pStyle w:val="Heading2"/>
      </w:pPr>
      <w:r>
        <w:rPr>
          <w:rStyle w:val="SectionNumber"/>
        </w:rPr>
        <w:t xml:space="preserve">9.32</w:t>
      </w:r>
      <w:r>
        <w:tab/>
      </w: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30"/>
    <w:bookmarkEnd w:id="131"/>
    <w:bookmarkStart w:id="135" w:name="reference-the-code-editor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32" w:name="editing-behavior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32"/>
    <w:bookmarkStart w:id="133" w:name="code-insertion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33"/>
    <w:bookmarkStart w:id="134" w:name="where-it-appears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34"/>
    <w:bookmarkEnd w:id="135"/>
    <w:bookmarkStart w:id="141" w:name="code-generation-in-depth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Code generation in depth</w:t>
      </w:r>
    </w:p>
    <w:bookmarkStart w:id="136" w:name="files-produced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36"/>
    <w:bookmarkStart w:id="137" w:name="anatomy-of-a-generated-file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37"/>
    <w:bookmarkStart w:id="138" w:name="the-six-user-sections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38"/>
    <w:bookmarkStart w:id="139" w:name="constructorinclude-destructorinclude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39"/>
    <w:bookmarkStart w:id="140" w:name="read-source-the-round-trip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40"/>
    <w:bookmarkEnd w:id="141"/>
    <w:bookmarkStart w:id="160" w:name="relations-and-the-intrusive-runtim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46" w:name="what-intrusive-mean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43" name="Picture"/>
            <a:graphic>
              <a:graphicData uri="http://schemas.openxmlformats.org/drawingml/2006/picture">
                <pic:pic>
                  <pic:nvPicPr>
                    <pic:cNvPr descr="images/fig-intrusive-lists.sv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46"/>
    <w:bookmarkStart w:id="147" w:name="declaring-relations-the-macro-surface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47"/>
    <w:bookmarkStart w:id="148" w:name="the-generated-api-of-a-multi-relation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48"/>
    <w:bookmarkStart w:id="149" w:name="Xaaa89ef9d7adb0d0fb470691c4808f6f6b0754c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49"/>
    <w:bookmarkStart w:id="154" w:name="ownership-and-cascade-delete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51" name="Picture"/>
            <a:graphic>
              <a:graphicData uri="http://schemas.openxmlformats.org/drawingml/2006/picture">
                <pic:pic>
                  <pic:nvPicPr>
                    <pic:cNvPr descr="images/fig-ownership-cascade.sv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54"/>
    <w:bookmarkStart w:id="155" w:name="iterators-that-survive-modification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55"/>
    <w:bookmarkStart w:id="156" w:name="single-static-multi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56"/>
    <w:bookmarkStart w:id="157" w:name="tree-implementations-and-find-method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57"/>
    <w:bookmarkStart w:id="158" w:name="critical-relations-threads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58"/>
    <w:bookmarkStart w:id="159" w:name="writing-loops-the-generated-wa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59"/>
    <w:bookmarkEnd w:id="160"/>
    <w:bookmarkStart w:id="167" w:name="serialization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Serialization</w:t>
      </w:r>
    </w:p>
    <w:bookmarkStart w:id="161" w:name="what-you-get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61"/>
    <w:bookmarkStart w:id="162" w:name="cbarchive-and-the-wire-format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62"/>
    <w:bookmarkStart w:id="163" w:name="cbz-compression-on-the-fly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63"/>
    <w:bookmarkStart w:id="164" w:name="Xbded68cf7b5dad621557026fdc0855cc4156113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has an</w:t>
      </w:r>
      <w:r>
        <w:t xml:space="preserve"> </w:t>
      </w:r>
      <w:r>
        <w:rPr>
          <w:rStyle w:val="VerbatimChar"/>
        </w:rPr>
        <w:t xml:space="preserve">int _version</w:t>
      </w:r>
      <w:r>
        <w:t xml:space="preserve"> </w:t>
      </w:r>
      <w:r>
        <w:t xml:space="preserve">member, stored first. Set it (constructor initialization) to the model’s current schema version; bump it when the schema grows. On load it is read back and published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carries a version (member dialog).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member; set its</w:t>
      </w:r>
      <w:r>
        <w:t xml:space="preserve"> </w:t>
      </w:r>
      <w:r>
        <w:rPr>
          <w:bCs/>
          <w:b/>
        </w:rPr>
        <w:t xml:space="preserve">version to (current document version + 1)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Bump the document version (the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 </w:t>
      </w:r>
      <w:r>
        <w:t xml:space="preserve">initialization) to the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(smaller stored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gate is wrong (e.g. left at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(Project Settings) renumbers a long version history down to the minimal equivalent scheme (max used + 1) — cosmetic, but keeps gates readable. Only compact when files older than the compacted scheme no longer need to load.</w:t>
      </w:r>
    </w:p>
    <w:bookmarkEnd w:id="164"/>
    <w:bookmarkStart w:id="165" w:name="rules-and-properties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65"/>
    <w:bookmarkStart w:id="166" w:name="Xe93cc69c5286d8ba9c1392594baf9a373c30c75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66"/>
    <w:bookmarkEnd w:id="167"/>
    <w:bookmarkStart w:id="171" w:name="the-generated-undoredo-framework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The generated Undo/Redo framework</w:t>
      </w:r>
    </w:p>
    <w:bookmarkStart w:id="168" w:name="what-it-is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68"/>
    <w:bookmarkStart w:id="169" w:name="how-it-work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69"/>
    <w:bookmarkStart w:id="170" w:name="the-undoreplace-entanglement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70"/>
    <w:bookmarkEnd w:id="171"/>
    <w:bookmarkStart w:id="179" w:name="the-replace-constructor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The replace constructor</w:t>
      </w:r>
    </w:p>
    <w:bookmarkStart w:id="176" w:name="the-idea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73" name="Picture"/>
            <a:graphic>
              <a:graphicData uri="http://schemas.openxmlformats.org/drawingml/2006/picture">
                <pic:pic>
                  <pic:nvPicPr>
                    <pic:cNvPr descr="images/fig-replace-constructor.sv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76"/>
    <w:bookmarkStart w:id="177" w:name="why-it-is-more-powerful-than-a-factory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77"/>
    <w:bookmarkStart w:id="178" w:name="mechanics-and-constraint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78"/>
    <w:bookmarkEnd w:id="179"/>
    <w:bookmarkStart w:id="185" w:name="the-command-interfac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The command interface</w:t>
      </w:r>
    </w:p>
    <w:bookmarkStart w:id="180" w:name="what-it-is-1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80"/>
    <w:bookmarkStart w:id="181" w:name="connecting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81"/>
    <w:bookmarkStart w:id="182" w:name="the-command-families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82"/>
    <w:bookmarkStart w:id="183" w:name="worked-examples-real-requests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_version = 2;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83"/>
    <w:bookmarkStart w:id="184" w:name="conventions-and-gotchas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84"/>
    <w:bookmarkEnd w:id="185"/>
    <w:bookmarkStart w:id="186" w:name="tips-pitfalls-and-best-practice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186"/>
    <w:bookmarkStart w:id="190" w:name="appendix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Appendix</w:t>
      </w:r>
    </w:p>
    <w:bookmarkStart w:id="187" w:name="a.-runtime-header-inventory"/>
    <w:p>
      <w:pPr>
        <w:pStyle w:val="Heading2"/>
      </w:pPr>
      <w:r>
        <w:rPr>
          <w:rStyle w:val="SectionNumber"/>
        </w:rPr>
        <w:t xml:space="preserve">18.1</w:t>
      </w:r>
      <w:r>
        <w:tab/>
      </w: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187"/>
    <w:bookmarkStart w:id="188" w:name="b.-marker-quick-reference"/>
    <w:p>
      <w:pPr>
        <w:pStyle w:val="Heading2"/>
      </w:pPr>
      <w:r>
        <w:rPr>
          <w:rStyle w:val="SectionNumber"/>
        </w:rPr>
        <w:t xml:space="preserve">18.2</w:t>
      </w:r>
      <w:r>
        <w:tab/>
      </w: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188"/>
    <w:bookmarkStart w:id="189" w:name="c.-glossary"/>
    <w:p>
      <w:pPr>
        <w:pStyle w:val="Heading2"/>
      </w:pPr>
      <w:r>
        <w:rPr>
          <w:rStyle w:val="SectionNumber"/>
        </w:rPr>
        <w:t xml:space="preserve">18.3</w:t>
      </w:r>
      <w:r>
        <w:tab/>
      </w: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svgz" /><Relationship Type="http://schemas.openxmlformats.org/officeDocument/2006/relationships/image" Id="rId48" Target="media/rId48.png" /><Relationship Type="http://schemas.openxmlformats.org/officeDocument/2006/relationships/image" Id="rId142" Target="media/rId142.svgz" /><Relationship Type="http://schemas.openxmlformats.org/officeDocument/2006/relationships/image" Id="rId150" Target="media/rId150.svgz" /><Relationship Type="http://schemas.openxmlformats.org/officeDocument/2006/relationships/image" Id="rId172" Target="media/rId172.svgz" /><Relationship Type="http://schemas.openxmlformats.org/officeDocument/2006/relationships/image" Id="rId35" Target="media/rId35.png" /><Relationship Type="http://schemas.openxmlformats.org/officeDocument/2006/relationships/image" Id="rId85" Target="media/rId85.svgz" /><Relationship Type="http://schemas.openxmlformats.org/officeDocument/2006/relationships/image" Id="rId93" Target="media/rId93.svgz" /><Relationship Type="http://schemas.openxmlformats.org/officeDocument/2006/relationships/image" Id="rId82" Target="media/rId82.png" /><Relationship Type="http://schemas.openxmlformats.org/officeDocument/2006/relationships/image" Id="rId145" Target="media/rId145.png" /><Relationship Type="http://schemas.openxmlformats.org/officeDocument/2006/relationships/image" Id="rId153" Target="media/rId153.png" /><Relationship Type="http://schemas.openxmlformats.org/officeDocument/2006/relationships/image" Id="rId175" Target="media/rId175.png" /><Relationship Type="http://schemas.openxmlformats.org/officeDocument/2006/relationships/image" Id="rId47" Target="media/rId47.png" /><Relationship Type="http://schemas.openxmlformats.org/officeDocument/2006/relationships/image" Id="rId88" Target="media/rId8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2026-07-02T07:24:39Z</dcterms:created>
  <dcterms:modified xsi:type="dcterms:W3CDTF">2026-07-02T07:24:39Z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