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CB140B">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方正小标宋简体" w:hAnsi="方正小标宋简体" w:eastAsia="方正小标宋简体" w:cs="方正小标宋简体"/>
          <w:b/>
          <w:bCs/>
          <w:sz w:val="44"/>
          <w:szCs w:val="44"/>
        </w:rPr>
      </w:pPr>
      <w:r>
        <w:rPr>
          <w:rFonts w:hint="eastAsia" w:ascii="方正小标宋简体" w:hAnsi="方正小标宋简体" w:eastAsia="方正小标宋简体" w:cs="方正小标宋简体"/>
          <w:b/>
          <w:bCs/>
          <w:sz w:val="44"/>
          <w:szCs w:val="44"/>
        </w:rPr>
        <w:t>中心基础平台技术服务项目</w:t>
      </w:r>
    </w:p>
    <w:p w14:paraId="35209393">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方正小标宋简体" w:hAnsi="方正小标宋简体" w:eastAsia="方正小标宋简体" w:cs="方正小标宋简体"/>
          <w:b/>
          <w:bCs/>
          <w:sz w:val="44"/>
          <w:szCs w:val="44"/>
        </w:rPr>
      </w:pPr>
      <w:r>
        <w:rPr>
          <w:rFonts w:hint="eastAsia" w:ascii="方正小标宋简体" w:hAnsi="方正小标宋简体" w:eastAsia="方正小标宋简体" w:cs="方正小标宋简体"/>
          <w:b/>
          <w:bCs/>
          <w:sz w:val="44"/>
          <w:szCs w:val="44"/>
        </w:rPr>
        <w:t>可行性研究报告</w:t>
      </w:r>
    </w:p>
    <w:p w14:paraId="297D336C">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仿宋" w:hAnsi="仿宋" w:eastAsia="仿宋" w:cs="仿宋"/>
          <w:sz w:val="32"/>
          <w:szCs w:val="32"/>
        </w:rPr>
      </w:pPr>
    </w:p>
    <w:p w14:paraId="4333BA4D">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一、项目概述</w:t>
      </w:r>
    </w:p>
    <w:p w14:paraId="7B3542D9">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项目基本信息</w:t>
      </w:r>
    </w:p>
    <w:p w14:paraId="54D028F3">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项目名称：中心基础平台技术服务</w:t>
      </w:r>
    </w:p>
    <w:p w14:paraId="7D88A833">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申报单位：数字媒体研发部</w:t>
      </w:r>
    </w:p>
    <w:p w14:paraId="53C082F2">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单位地址：昆明市丹霞路新闻中心</w:t>
      </w:r>
    </w:p>
    <w:p w14:paraId="3C099910">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项目起止年限：202</w:t>
      </w:r>
      <w:r>
        <w:rPr>
          <w:rFonts w:hint="eastAsia" w:ascii="仿宋" w:hAnsi="仿宋" w:eastAsia="仿宋" w:cs="仿宋"/>
          <w:sz w:val="32"/>
          <w:szCs w:val="32"/>
          <w:lang w:val="en-US" w:eastAsia="zh-CN"/>
        </w:rPr>
        <w:t>6</w:t>
      </w:r>
      <w:r>
        <w:rPr>
          <w:rFonts w:hint="eastAsia" w:ascii="仿宋" w:hAnsi="仿宋" w:eastAsia="仿宋" w:cs="仿宋"/>
          <w:sz w:val="32"/>
          <w:szCs w:val="32"/>
        </w:rPr>
        <w:t>年</w:t>
      </w:r>
      <w:r>
        <w:rPr>
          <w:rFonts w:hint="eastAsia" w:ascii="仿宋" w:hAnsi="仿宋" w:eastAsia="仿宋" w:cs="仿宋"/>
          <w:sz w:val="32"/>
          <w:szCs w:val="32"/>
          <w:lang w:val="en-US" w:eastAsia="zh-CN"/>
        </w:rPr>
        <w:t>1</w:t>
      </w:r>
      <w:r>
        <w:rPr>
          <w:rFonts w:hint="eastAsia" w:ascii="仿宋" w:hAnsi="仿宋" w:eastAsia="仿宋" w:cs="仿宋"/>
          <w:sz w:val="32"/>
          <w:szCs w:val="32"/>
        </w:rPr>
        <w:t>月 - 202</w:t>
      </w:r>
      <w:r>
        <w:rPr>
          <w:rFonts w:hint="eastAsia" w:ascii="仿宋" w:hAnsi="仿宋" w:eastAsia="仿宋" w:cs="仿宋"/>
          <w:sz w:val="32"/>
          <w:szCs w:val="32"/>
          <w:lang w:val="en-US" w:eastAsia="zh-CN"/>
        </w:rPr>
        <w:t>6</w:t>
      </w:r>
      <w:r>
        <w:rPr>
          <w:rFonts w:hint="eastAsia" w:ascii="仿宋" w:hAnsi="仿宋" w:eastAsia="仿宋" w:cs="仿宋"/>
          <w:sz w:val="32"/>
          <w:szCs w:val="32"/>
        </w:rPr>
        <w:t>年12月</w:t>
      </w:r>
    </w:p>
    <w:p w14:paraId="2C87F183">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项目负责人：</w:t>
      </w:r>
      <w:r>
        <w:rPr>
          <w:rFonts w:hint="eastAsia" w:ascii="仿宋" w:hAnsi="仿宋" w:eastAsia="仿宋" w:cs="仿宋"/>
          <w:sz w:val="32"/>
          <w:szCs w:val="32"/>
          <w:lang w:val="en-US" w:eastAsia="zh-CN"/>
        </w:rPr>
        <w:t>李国山</w:t>
      </w:r>
      <w:r>
        <w:rPr>
          <w:rFonts w:hint="eastAsia" w:ascii="仿宋" w:hAnsi="仿宋" w:eastAsia="仿宋" w:cs="仿宋"/>
          <w:sz w:val="32"/>
          <w:szCs w:val="32"/>
        </w:rPr>
        <w:t>（联系电话：</w:t>
      </w:r>
      <w:r>
        <w:rPr>
          <w:rFonts w:hint="eastAsia" w:ascii="仿宋" w:hAnsi="仿宋" w:eastAsia="仿宋" w:cs="仿宋"/>
          <w:sz w:val="32"/>
          <w:szCs w:val="32"/>
          <w:lang w:val="en-US" w:eastAsia="zh-CN"/>
        </w:rPr>
        <w:t>13678722462</w:t>
      </w:r>
      <w:r>
        <w:rPr>
          <w:rFonts w:hint="eastAsia" w:ascii="仿宋" w:hAnsi="仿宋" w:eastAsia="仿宋" w:cs="仿宋"/>
          <w:sz w:val="32"/>
          <w:szCs w:val="32"/>
        </w:rPr>
        <w:t>）</w:t>
      </w:r>
    </w:p>
    <w:p w14:paraId="17C4F1C2">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申请资金：60万元</w:t>
      </w:r>
    </w:p>
    <w:p w14:paraId="39F45736">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项目背景与必要性</w:t>
      </w:r>
    </w:p>
    <w:p w14:paraId="444CA65D">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昆明市融媒体</w:t>
      </w:r>
      <w:r>
        <w:rPr>
          <w:rFonts w:hint="eastAsia" w:ascii="仿宋" w:hAnsi="仿宋" w:eastAsia="仿宋" w:cs="仿宋"/>
          <w:sz w:val="32"/>
          <w:szCs w:val="32"/>
        </w:rPr>
        <w:t>中心官网和</w:t>
      </w:r>
      <w:r>
        <w:rPr>
          <w:rFonts w:hint="eastAsia" w:ascii="仿宋" w:hAnsi="仿宋" w:eastAsia="仿宋" w:cs="仿宋"/>
          <w:sz w:val="32"/>
          <w:szCs w:val="32"/>
          <w:lang w:val="en-US" w:eastAsia="zh-CN"/>
        </w:rPr>
        <w:t>昆明日报、都市时报</w:t>
      </w:r>
      <w:r>
        <w:rPr>
          <w:rFonts w:hint="eastAsia" w:ascii="仿宋" w:hAnsi="仿宋" w:eastAsia="仿宋" w:cs="仿宋"/>
          <w:sz w:val="32"/>
          <w:szCs w:val="32"/>
        </w:rPr>
        <w:t>电子报</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以下简称“两报电子报”</w:t>
      </w:r>
      <w:r>
        <w:rPr>
          <w:rFonts w:hint="eastAsia" w:ascii="仿宋" w:hAnsi="仿宋" w:eastAsia="仿宋" w:cs="仿宋"/>
          <w:sz w:val="32"/>
          <w:szCs w:val="32"/>
          <w:lang w:eastAsia="zh-CN"/>
        </w:rPr>
        <w:t>）</w:t>
      </w:r>
      <w:r>
        <w:rPr>
          <w:rFonts w:hint="eastAsia" w:ascii="仿宋" w:hAnsi="仿宋" w:eastAsia="仿宋" w:cs="仿宋"/>
          <w:sz w:val="32"/>
          <w:szCs w:val="32"/>
        </w:rPr>
        <w:t>是</w:t>
      </w:r>
      <w:r>
        <w:rPr>
          <w:rFonts w:hint="eastAsia" w:ascii="仿宋" w:hAnsi="仿宋" w:eastAsia="仿宋" w:cs="仿宋"/>
          <w:sz w:val="32"/>
          <w:szCs w:val="32"/>
          <w:lang w:val="en-US" w:eastAsia="zh-CN"/>
        </w:rPr>
        <w:t>昆明市</w:t>
      </w:r>
      <w:r>
        <w:rPr>
          <w:rFonts w:hint="eastAsia" w:ascii="仿宋" w:hAnsi="仿宋" w:eastAsia="仿宋" w:cs="仿宋"/>
          <w:sz w:val="32"/>
          <w:szCs w:val="32"/>
        </w:rPr>
        <w:t>融媒体中心对外宣传的核心窗口和信息发布的</w:t>
      </w:r>
      <w:r>
        <w:rPr>
          <w:rFonts w:hint="eastAsia" w:ascii="仿宋" w:hAnsi="仿宋" w:eastAsia="仿宋" w:cs="仿宋"/>
          <w:sz w:val="32"/>
          <w:szCs w:val="32"/>
          <w:lang w:val="en-US" w:eastAsia="zh-CN"/>
        </w:rPr>
        <w:t>主要</w:t>
      </w:r>
      <w:r>
        <w:rPr>
          <w:rFonts w:hint="eastAsia" w:ascii="仿宋" w:hAnsi="仿宋" w:eastAsia="仿宋" w:cs="仿宋"/>
          <w:sz w:val="32"/>
          <w:szCs w:val="32"/>
        </w:rPr>
        <w:t>阵地，承担着新闻资讯传播、权威信息发布、数字报刊服务等重要职能。其中，电子报作为传统报纸数字化转型的关键载体，承载着中心报纸内容的全数字化呈现与在线传播，是延续报纸生命力和影响力的核心平台，其安全稳定运行直接关系到中心的公信力与传播力。</w:t>
      </w:r>
    </w:p>
    <w:p w14:paraId="3E418394">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32"/>
          <w:szCs w:val="32"/>
        </w:rPr>
      </w:pPr>
      <w:r>
        <w:rPr>
          <w:rFonts w:hint="eastAsia" w:ascii="仿宋" w:hAnsi="仿宋" w:eastAsia="仿宋" w:cs="仿宋"/>
          <w:sz w:val="32"/>
          <w:szCs w:val="32"/>
        </w:rPr>
        <w:t>中心官网和</w:t>
      </w:r>
      <w:r>
        <w:rPr>
          <w:rFonts w:hint="eastAsia" w:ascii="仿宋" w:hAnsi="仿宋" w:eastAsia="仿宋" w:cs="仿宋"/>
          <w:sz w:val="32"/>
          <w:szCs w:val="32"/>
          <w:lang w:val="en-US" w:eastAsia="zh-CN"/>
        </w:rPr>
        <w:t>两报</w:t>
      </w:r>
      <w:r>
        <w:rPr>
          <w:rFonts w:hint="eastAsia" w:ascii="仿宋" w:hAnsi="仿宋" w:eastAsia="仿宋" w:cs="仿宋"/>
          <w:sz w:val="32"/>
          <w:szCs w:val="32"/>
        </w:rPr>
        <w:t>电子报</w:t>
      </w:r>
      <w:r>
        <w:rPr>
          <w:rFonts w:hint="eastAsia" w:ascii="仿宋" w:hAnsi="仿宋" w:eastAsia="仿宋" w:cs="仿宋"/>
          <w:sz w:val="32"/>
          <w:szCs w:val="32"/>
          <w:lang w:val="en-US" w:eastAsia="zh-CN"/>
        </w:rPr>
        <w:t>均</w:t>
      </w:r>
      <w:r>
        <w:rPr>
          <w:rFonts w:hint="eastAsia" w:ascii="仿宋" w:hAnsi="仿宋" w:eastAsia="仿宋" w:cs="仿宋"/>
          <w:sz w:val="32"/>
          <w:szCs w:val="32"/>
        </w:rPr>
        <w:t>部署运行在成熟的商业云平台上，云服务、安全服务及数据服务均已形成稳定的运行架构。</w:t>
      </w:r>
    </w:p>
    <w:p w14:paraId="7843D7FA">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但目前面临最紧迫的问题是相关云服务、安全服务、数据服务资源的即将耗尽，若无法及时筹措资金进行续费，云平台资源将面临断供，安全防护将失去保障，数据服务也将随之中断。将直接导致中心官网和两报电子报无法访问，多年积累的内容数据和用户数据可能遭受不可逆的损失。</w:t>
      </w:r>
    </w:p>
    <w:p w14:paraId="3C4AD1C1">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基于此，本项目计划对中心官网和两报电子报项目的相关资源进行续费，确保两大核心信息基础设施正常稳定运转。必要性体现如下：</w:t>
      </w:r>
    </w:p>
    <w:p w14:paraId="3D59044A">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1.技术底座续费是维持平台运行的底线需求</w:t>
      </w:r>
    </w:p>
    <w:p w14:paraId="2B9074DE">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中心官网和电子报已运行在云平台上，计算资源、存储资源、网络资源、数据库等基础设施均依赖云服务商持续提供。云服务按年计费、按量计费是行业通行模式，到期不续费即停服。目前，中心内部人力编制和技术条件均不具备在短期内将系统迁回自有机房的条件，一旦云服务断供，官网和电子报将无替代方案可承接，业务连续性将彻底中断。因此，保障云资源服务费、安全服务费、数据服务费的正常续交，是维持现有系统运行最基础、最刚性的需求，没有其他选择余地。</w:t>
      </w:r>
    </w:p>
    <w:p w14:paraId="33DD5F51">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2.全续保是筑牢网络安全防线的刚性要求</w:t>
      </w:r>
    </w:p>
    <w:p w14:paraId="34B10BA2">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中心官网和电子报目前运行在多重安全防护体系下，包括DDoS高防、Web应用防火墙、主机安全、数据加密等专业安全服务，这些服务同样按年采购，到期自动失效。当前网络攻击手段不断升级，针对媒体机构网站的攻击事件频发。一旦安全服务因断费而终止，中心官网和电子报将完全暴露在网络攻击之下，网页篡改、数据泄露、DDoS攻击等风险将立即失控。国家广播电视总局、公安部对广播电视关键信息基础设施有明确的等级保护要求，专业安全服务是安全合规运行的必要条件，安全服务续费不可中断。</w:t>
      </w:r>
    </w:p>
    <w:p w14:paraId="489E6CCE">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3.数据服务续供是数据资产持续积累的基本保证</w:t>
      </w:r>
    </w:p>
    <w:p w14:paraId="4D6DAE00">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心官网和电子报的内容传播数据、用户互动数据、生产业务数据等均依赖专业数据服务进行采集、监测、回传和归集。这些数据的持续积累，已成为中心评估内容传播效果、优化采编策略的重要依据。数据服务同样按年采购，若断费中断，数据采集链条将立即断裂，数据归集工作也将停滞，中心将重新回到“无数据、凭经验”的粗放运营状态，严重影响融媒体业务的精细化管理进程。保证数据服务续供，是持续构建中心数据资产的基本保证。</w:t>
      </w:r>
    </w:p>
    <w:p w14:paraId="11BD831F">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基于以上背景，本项目面临的不是“要不要建”的问题，而是“能不能续”的问题。合同到期、资金告急的现状使得本项目具有完全的紧迫性和必要性，申请专项资金60万元完成服务续费，</w:t>
      </w:r>
      <w:r>
        <w:rPr>
          <w:rFonts w:hint="eastAsia" w:ascii="仿宋" w:hAnsi="仿宋" w:eastAsia="仿宋" w:cs="仿宋"/>
          <w:sz w:val="32"/>
          <w:szCs w:val="32"/>
          <w:lang w:val="en-US" w:eastAsia="zh-CN"/>
        </w:rPr>
        <w:t>以</w:t>
      </w:r>
      <w:r>
        <w:rPr>
          <w:rFonts w:hint="eastAsia" w:ascii="仿宋" w:hAnsi="仿宋" w:eastAsia="仿宋" w:cs="仿宋"/>
          <w:sz w:val="32"/>
          <w:szCs w:val="32"/>
        </w:rPr>
        <w:t>保障中心官网和电子报持续安全</w:t>
      </w:r>
      <w:r>
        <w:rPr>
          <w:rFonts w:hint="eastAsia" w:ascii="仿宋" w:hAnsi="仿宋" w:eastAsia="仿宋" w:cs="仿宋"/>
          <w:sz w:val="32"/>
          <w:szCs w:val="32"/>
          <w:lang w:val="en-US" w:eastAsia="zh-CN"/>
        </w:rPr>
        <w:t>稳定</w:t>
      </w:r>
      <w:r>
        <w:rPr>
          <w:rFonts w:hint="eastAsia" w:ascii="仿宋" w:hAnsi="仿宋" w:eastAsia="仿宋" w:cs="仿宋"/>
          <w:sz w:val="32"/>
          <w:szCs w:val="32"/>
        </w:rPr>
        <w:t>运行。</w:t>
      </w:r>
    </w:p>
    <w:p w14:paraId="09BD7767">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二、技术方案与实施路径</w:t>
      </w:r>
    </w:p>
    <w:p w14:paraId="0B5573BD">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总体技术架构</w:t>
      </w:r>
    </w:p>
    <w:p w14:paraId="37CE63F9">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项目遵循“安全为基、云为底座、数据为纽带”的总体思路，构建覆盖云服务、安全服务、数据服务三位一体的基础平台技术服务架构。依托腾讯云、华为云、阿里云等主流云计算平台的计算、存储、网络资源，提供弹性可扩展的资源底座；在安全层面，提供从基础设施安全、应用安全到数据安全的纵深防护体系；在数据层面，提供传播及互动监测数据回传和生产业务数据抓取归集两类核心数据服务。</w:t>
      </w:r>
    </w:p>
    <w:p w14:paraId="3E51864C">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服务内容规划</w:t>
      </w:r>
    </w:p>
    <w:p w14:paraId="3EF39E56">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w:t>
      </w:r>
      <w:r>
        <w:rPr>
          <w:rFonts w:hint="eastAsia" w:ascii="仿宋" w:hAnsi="仿宋" w:eastAsia="仿宋" w:cs="仿宋"/>
          <w:sz w:val="32"/>
          <w:szCs w:val="32"/>
        </w:rPr>
        <w:t>云服务</w:t>
      </w:r>
    </w:p>
    <w:p w14:paraId="4D6070C0">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云服务为本项目的基础资源服务，为官网和电子报提供稳定、高可用的计算底座，包括但不限于以下内容：</w:t>
      </w:r>
    </w:p>
    <w:p w14:paraId="3BD8410C">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计算资源服务：为官网和电子报提供云服务器（ECS）实例，保障应用系统的计算能力。根据业务访问量弹性伸缩，满足日常运行与峰值需求。</w:t>
      </w:r>
    </w:p>
    <w:p w14:paraId="475C3724">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存储资源服务：提供对象存储、块存储等云存储服务，用于官网内容素材、电子报版面数据、系统备份等数据的可靠存储。</w:t>
      </w:r>
    </w:p>
    <w:p w14:paraId="246F99D1">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网络资源服务：提供负载均衡、CDN加速、域名解析等网络服务，优化用户访问体验，确保全国范围内均可流畅访问中心官网和电子报。</w:t>
      </w:r>
    </w:p>
    <w:p w14:paraId="57F447FB">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数据库服务：提供云数据库服务，支撑官网后台内容管理系统和电子报系统的数据存储与查询。</w:t>
      </w:r>
    </w:p>
    <w:p w14:paraId="2D6D2AFF">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云资源监控与管理：提供云资源使用情况的实时监控、告警和报表，支撑资源的动态调配与成本优化。</w:t>
      </w:r>
    </w:p>
    <w:p w14:paraId="3F581123">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2.</w:t>
      </w:r>
      <w:r>
        <w:rPr>
          <w:rFonts w:hint="eastAsia" w:ascii="仿宋" w:hAnsi="仿宋" w:eastAsia="仿宋" w:cs="仿宋"/>
          <w:sz w:val="32"/>
          <w:szCs w:val="32"/>
        </w:rPr>
        <w:t>安全服务</w:t>
      </w:r>
    </w:p>
    <w:p w14:paraId="314A7F8A">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安全服务为本项目的重点保障内容，投入专业安全资源构建纵深防护体系，包括但不限于以下方面：</w:t>
      </w:r>
    </w:p>
    <w:p w14:paraId="66D7E69E">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网络安全防护服务：提供DDoS高防、Web应用防火墙（WAF）、云防火墙等安全防护能力，抵御各类网络攻击，保障官网和电子报的可用性。</w:t>
      </w:r>
    </w:p>
    <w:p w14:paraId="13986C29">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主机安全服务：对云服务器进行安全加固，提供入侵检测、漏洞扫描、基线核查等服务，及时发现并修复安全隐患。</w:t>
      </w:r>
    </w:p>
    <w:p w14:paraId="5BA8446B">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数据安全服务：提供数据加密、备份恢复、防篡改等数据安全能力，保障中心官网内容数据和电子报版面数据的完整性和可恢复性。</w:t>
      </w:r>
    </w:p>
    <w:p w14:paraId="5BEA5A99">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安全监测与应急响应：提供7×24小时安全监测服务，对安全事件进行实时告警和应急响应，最大限度地降低安全风险。</w:t>
      </w:r>
    </w:p>
    <w:p w14:paraId="26484DD3">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3.</w:t>
      </w:r>
      <w:r>
        <w:rPr>
          <w:rFonts w:hint="eastAsia" w:ascii="仿宋" w:hAnsi="仿宋" w:eastAsia="仿宋" w:cs="仿宋"/>
          <w:sz w:val="32"/>
          <w:szCs w:val="32"/>
        </w:rPr>
        <w:t>数据服务</w:t>
      </w:r>
    </w:p>
    <w:p w14:paraId="4AD43514">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数据服务为本项目的增值服务，通过专业数据服务资源释放数据价值，包括以下两类核心服务：</w:t>
      </w:r>
    </w:p>
    <w:p w14:paraId="7990F1FD">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传播及互动数据监测与回传服务：通过技术手段对中心</w:t>
      </w:r>
      <w:r>
        <w:rPr>
          <w:rFonts w:hint="eastAsia" w:ascii="仿宋" w:hAnsi="仿宋" w:eastAsia="仿宋" w:cs="仿宋"/>
          <w:sz w:val="32"/>
          <w:szCs w:val="32"/>
          <w:lang w:val="en-US" w:eastAsia="zh-CN"/>
        </w:rPr>
        <w:t>各渠道播发</w:t>
      </w:r>
      <w:r>
        <w:rPr>
          <w:rFonts w:hint="eastAsia" w:ascii="仿宋" w:hAnsi="仿宋" w:eastAsia="仿宋" w:cs="仿宋"/>
          <w:sz w:val="32"/>
          <w:szCs w:val="32"/>
        </w:rPr>
        <w:t>的内容进行传播效果监测，包括页面浏览量（PV）、独立访客数（UV）、停留时长、访问来源、地域分布等传播数据；同时监测用户互动数据，如评论数、点赞数、分享转发量等。通过传播数据分析，统计、量化、评估新闻产品在全媒体的传播力、影响力，为运营决策提供数据依据。数据需定期回传至中心指定的数据接收平台或系统。</w:t>
      </w:r>
    </w:p>
    <w:p w14:paraId="232A8473">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中心生产业务数据抓取与归集服务：根据中心业务需求，对融媒体生产业务中的关键数据进行抓取、清洗、标准格式化处理，归集至中心指定的数据平台或数据库。打通各业务系统间数据流通障碍，逐步构建统一的数据视图，支撑后续业务分析与应用。</w:t>
      </w:r>
    </w:p>
    <w:p w14:paraId="693F21FF">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4.</w:t>
      </w:r>
      <w:r>
        <w:rPr>
          <w:rFonts w:hint="eastAsia" w:ascii="仿宋" w:hAnsi="仿宋" w:eastAsia="仿宋" w:cs="仿宋"/>
          <w:sz w:val="32"/>
          <w:szCs w:val="32"/>
        </w:rPr>
        <w:t>服务模式与技术保障</w:t>
      </w:r>
    </w:p>
    <w:p w14:paraId="57180CE2">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本项目采用技术服务采购模式，由专业技术服务商提供上述服务内容，主要保障措施包括：</w:t>
      </w:r>
    </w:p>
    <w:p w14:paraId="37A90C8B">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服务可用性：云服务承诺可用性不低于99.95%，确保官网和电子报全年稳定在线运行。</w:t>
      </w:r>
    </w:p>
    <w:p w14:paraId="0C672618">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响应时效：安全事件提供7×24小时应急响应，一般技术故障4小时内响应、8小时内解决。</w:t>
      </w:r>
    </w:p>
    <w:p w14:paraId="6F7A3154">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运维支持：提供5×8在线技术支持，负责安全设置及维护、云端存储及备份等日常运维工作。</w:t>
      </w:r>
    </w:p>
    <w:p w14:paraId="7E740BD5">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定期巡检与报告：每月提供云资源使用、安全态势、数据服务的统计报告，按季度提供运维服务总结报告，支撑中心管理层掌握平台运行状况。</w:t>
      </w:r>
    </w:p>
    <w:p w14:paraId="3EAE6065">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数据安全保障：严格遵守数据安全相关法律法规，所有数据不出境内，数据服务过程中采集、传输、存储的数据均需遵循授权使用原则。</w:t>
      </w:r>
    </w:p>
    <w:p w14:paraId="462827AB">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 xml:space="preserve">    5.</w:t>
      </w:r>
      <w:r>
        <w:rPr>
          <w:rFonts w:hint="eastAsia" w:ascii="仿宋" w:hAnsi="仿宋" w:eastAsia="仿宋" w:cs="仿宋"/>
          <w:sz w:val="32"/>
          <w:szCs w:val="32"/>
        </w:rPr>
        <w:t>实施团队</w:t>
      </w:r>
    </w:p>
    <w:p w14:paraId="5A223A13">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项目</w:t>
      </w:r>
      <w:r>
        <w:rPr>
          <w:rFonts w:hint="eastAsia" w:ascii="仿宋" w:hAnsi="仿宋" w:eastAsia="仿宋" w:cs="仿宋"/>
          <w:sz w:val="32"/>
          <w:szCs w:val="32"/>
        </w:rPr>
        <w:t>由数字媒体研发部统筹负责项目采购管理、服务验收和日常协调。</w:t>
      </w:r>
      <w:r>
        <w:rPr>
          <w:rFonts w:hint="eastAsia" w:ascii="仿宋" w:hAnsi="仿宋" w:eastAsia="仿宋" w:cs="仿宋"/>
          <w:sz w:val="32"/>
          <w:szCs w:val="32"/>
          <w:lang w:val="en-US" w:eastAsia="zh-CN"/>
        </w:rPr>
        <w:t>服务团队为各云服务、安全服务、数据服务的技术团队。</w:t>
      </w:r>
    </w:p>
    <w:p w14:paraId="2E1044CD">
      <w:pPr>
        <w:keepNext w:val="0"/>
        <w:keepLines w:val="0"/>
        <w:pageBreakBefore w:val="0"/>
        <w:widowControl w:val="0"/>
        <w:numPr>
          <w:ilvl w:val="0"/>
          <w:numId w:val="1"/>
        </w:numPr>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实施进度安排</w:t>
      </w:r>
    </w:p>
    <w:p w14:paraId="652A7C97">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项目为技术服务</w:t>
      </w:r>
      <w:r>
        <w:rPr>
          <w:rFonts w:hint="eastAsia" w:ascii="仿宋" w:hAnsi="仿宋" w:eastAsia="仿宋" w:cs="仿宋"/>
          <w:sz w:val="32"/>
          <w:szCs w:val="32"/>
          <w:lang w:val="en-US" w:eastAsia="zh-CN"/>
        </w:rPr>
        <w:t>资源</w:t>
      </w:r>
      <w:r>
        <w:rPr>
          <w:rFonts w:hint="eastAsia" w:ascii="仿宋" w:hAnsi="仿宋" w:eastAsia="仿宋" w:cs="仿宋"/>
          <w:sz w:val="32"/>
          <w:szCs w:val="32"/>
        </w:rPr>
        <w:t>续费采购类项目，核心目标是在现有服务</w:t>
      </w:r>
      <w:r>
        <w:rPr>
          <w:rFonts w:hint="eastAsia" w:ascii="仿宋" w:hAnsi="仿宋" w:eastAsia="仿宋" w:cs="仿宋"/>
          <w:sz w:val="32"/>
          <w:szCs w:val="32"/>
          <w:lang w:val="en-US" w:eastAsia="zh-CN"/>
        </w:rPr>
        <w:t>资源</w:t>
      </w:r>
      <w:r>
        <w:rPr>
          <w:rFonts w:hint="eastAsia" w:ascii="仿宋" w:hAnsi="仿宋" w:eastAsia="仿宋" w:cs="仿宋"/>
          <w:sz w:val="32"/>
          <w:szCs w:val="32"/>
        </w:rPr>
        <w:t>到期前完成续费采购，确保各类服务无缝衔接、不中断。在确定资金安排后，按以下进度推进：</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927"/>
        <w:gridCol w:w="4853"/>
      </w:tblGrid>
      <w:tr w14:paraId="3A60B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Pr>
          <w:p w14:paraId="172BD468">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rPr>
            </w:pPr>
            <w:r>
              <w:rPr>
                <w:rFonts w:hint="eastAsia" w:ascii="仿宋" w:hAnsi="仿宋" w:eastAsia="仿宋" w:cs="仿宋"/>
                <w:sz w:val="28"/>
                <w:szCs w:val="28"/>
              </w:rPr>
              <w:t>阶段</w:t>
            </w:r>
          </w:p>
        </w:tc>
        <w:tc>
          <w:tcPr>
            <w:tcW w:w="1927" w:type="dxa"/>
          </w:tcPr>
          <w:p w14:paraId="12C3543C">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rPr>
            </w:pPr>
            <w:r>
              <w:rPr>
                <w:rFonts w:hint="eastAsia" w:ascii="仿宋" w:hAnsi="仿宋" w:eastAsia="仿宋" w:cs="仿宋"/>
                <w:sz w:val="28"/>
                <w:szCs w:val="28"/>
              </w:rPr>
              <w:t>时间范围</w:t>
            </w:r>
          </w:p>
        </w:tc>
        <w:tc>
          <w:tcPr>
            <w:tcW w:w="4853" w:type="dxa"/>
          </w:tcPr>
          <w:p w14:paraId="5F82D829">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rPr>
            </w:pPr>
            <w:r>
              <w:rPr>
                <w:rFonts w:hint="eastAsia" w:ascii="仿宋" w:hAnsi="仿宋" w:eastAsia="仿宋" w:cs="仿宋"/>
                <w:sz w:val="28"/>
                <w:szCs w:val="28"/>
              </w:rPr>
              <w:t>主要任务</w:t>
            </w:r>
          </w:p>
        </w:tc>
      </w:tr>
      <w:tr w14:paraId="7B204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Pr>
          <w:p w14:paraId="4729F3A8">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rPr>
            </w:pPr>
            <w:r>
              <w:rPr>
                <w:rFonts w:hint="eastAsia" w:ascii="仿宋" w:hAnsi="仿宋" w:eastAsia="仿宋" w:cs="仿宋"/>
                <w:sz w:val="28"/>
                <w:szCs w:val="28"/>
              </w:rPr>
              <w:t>第一阶段：采购执行与合同签订</w:t>
            </w:r>
          </w:p>
        </w:tc>
        <w:tc>
          <w:tcPr>
            <w:tcW w:w="1927" w:type="dxa"/>
          </w:tcPr>
          <w:p w14:paraId="628E9903">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lang w:eastAsia="zh-CN"/>
              </w:rPr>
            </w:pPr>
            <w:r>
              <w:rPr>
                <w:rFonts w:hint="eastAsia" w:ascii="仿宋" w:hAnsi="仿宋" w:eastAsia="仿宋" w:cs="仿宋"/>
                <w:sz w:val="28"/>
                <w:szCs w:val="28"/>
                <w:vertAlign w:val="baseline"/>
              </w:rPr>
              <w:t>第</w:t>
            </w:r>
            <w:r>
              <w:rPr>
                <w:rFonts w:hint="eastAsia" w:ascii="仿宋" w:hAnsi="仿宋" w:eastAsia="仿宋" w:cs="仿宋"/>
                <w:sz w:val="28"/>
                <w:szCs w:val="28"/>
                <w:vertAlign w:val="baseline"/>
                <w:lang w:val="en-US" w:eastAsia="zh-CN"/>
              </w:rPr>
              <w:t>1-2</w:t>
            </w:r>
            <w:r>
              <w:rPr>
                <w:rFonts w:hint="eastAsia" w:ascii="仿宋" w:hAnsi="仿宋" w:eastAsia="仿宋" w:cs="仿宋"/>
                <w:sz w:val="28"/>
                <w:szCs w:val="28"/>
                <w:vertAlign w:val="baseline"/>
              </w:rPr>
              <w:t>个月</w:t>
            </w:r>
            <w:r>
              <w:rPr>
                <w:rFonts w:hint="eastAsia" w:ascii="仿宋" w:hAnsi="仿宋" w:eastAsia="仿宋" w:cs="仿宋"/>
                <w:sz w:val="28"/>
                <w:szCs w:val="28"/>
                <w:vertAlign w:val="baseline"/>
                <w:lang w:eastAsia="zh-CN"/>
              </w:rPr>
              <w:t>（</w:t>
            </w:r>
            <w:r>
              <w:rPr>
                <w:rFonts w:hint="eastAsia" w:ascii="仿宋" w:hAnsi="仿宋" w:eastAsia="仿宋" w:cs="仿宋"/>
                <w:sz w:val="28"/>
                <w:szCs w:val="28"/>
                <w:vertAlign w:val="baseline"/>
                <w:lang w:val="en-US" w:eastAsia="zh-CN"/>
              </w:rPr>
              <w:t>6-7月</w:t>
            </w:r>
            <w:r>
              <w:rPr>
                <w:rFonts w:hint="eastAsia" w:ascii="仿宋" w:hAnsi="仿宋" w:eastAsia="仿宋" w:cs="仿宋"/>
                <w:sz w:val="28"/>
                <w:szCs w:val="28"/>
                <w:vertAlign w:val="baseline"/>
                <w:lang w:eastAsia="zh-CN"/>
              </w:rPr>
              <w:t>）</w:t>
            </w:r>
          </w:p>
        </w:tc>
        <w:tc>
          <w:tcPr>
            <w:tcW w:w="4853" w:type="dxa"/>
          </w:tcPr>
          <w:p w14:paraId="611A11E7">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lang w:eastAsia="zh-CN"/>
              </w:rPr>
            </w:pPr>
            <w:r>
              <w:rPr>
                <w:rFonts w:hint="eastAsia" w:ascii="仿宋" w:hAnsi="仿宋" w:eastAsia="仿宋" w:cs="仿宋"/>
                <w:sz w:val="28"/>
                <w:szCs w:val="28"/>
                <w:vertAlign w:val="baseline"/>
              </w:rPr>
              <w:t>完成供应商选择；签订云服务、安全服务、数据服务续费合同；确保合同起止时间与现有服务到期时间无缝衔接</w:t>
            </w:r>
            <w:r>
              <w:rPr>
                <w:rFonts w:hint="eastAsia" w:ascii="仿宋" w:hAnsi="仿宋" w:eastAsia="仿宋" w:cs="仿宋"/>
                <w:sz w:val="28"/>
                <w:szCs w:val="28"/>
                <w:vertAlign w:val="baseline"/>
                <w:lang w:eastAsia="zh-CN"/>
              </w:rPr>
              <w:t>。</w:t>
            </w:r>
          </w:p>
        </w:tc>
      </w:tr>
      <w:tr w14:paraId="72BF5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Pr>
          <w:p w14:paraId="02ED75F8">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rPr>
            </w:pPr>
            <w:r>
              <w:rPr>
                <w:rFonts w:hint="eastAsia" w:ascii="仿宋" w:hAnsi="仿宋" w:eastAsia="仿宋" w:cs="仿宋"/>
                <w:sz w:val="28"/>
                <w:szCs w:val="28"/>
              </w:rPr>
              <w:t>第二阶段：服务续约与平稳过渡</w:t>
            </w:r>
          </w:p>
        </w:tc>
        <w:tc>
          <w:tcPr>
            <w:tcW w:w="1927" w:type="dxa"/>
          </w:tcPr>
          <w:p w14:paraId="019BC76A">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rPr>
            </w:pPr>
            <w:r>
              <w:rPr>
                <w:rFonts w:hint="eastAsia" w:ascii="仿宋" w:hAnsi="仿宋" w:eastAsia="仿宋" w:cs="仿宋"/>
                <w:sz w:val="28"/>
                <w:szCs w:val="28"/>
                <w:lang w:val="en-US" w:eastAsia="zh-CN"/>
              </w:rPr>
              <w:t>第</w:t>
            </w:r>
            <w:r>
              <w:rPr>
                <w:rFonts w:hint="eastAsia" w:ascii="仿宋" w:hAnsi="仿宋" w:eastAsia="仿宋" w:cs="仿宋"/>
                <w:sz w:val="28"/>
                <w:szCs w:val="28"/>
              </w:rPr>
              <w:t>2个月（</w:t>
            </w:r>
            <w:r>
              <w:rPr>
                <w:rFonts w:hint="eastAsia" w:ascii="仿宋" w:hAnsi="仿宋" w:eastAsia="仿宋" w:cs="仿宋"/>
                <w:sz w:val="28"/>
                <w:szCs w:val="28"/>
                <w:lang w:val="en-US" w:eastAsia="zh-CN"/>
              </w:rPr>
              <w:t>7</w:t>
            </w:r>
            <w:r>
              <w:rPr>
                <w:rFonts w:hint="eastAsia" w:ascii="仿宋" w:hAnsi="仿宋" w:eastAsia="仿宋" w:cs="仿宋"/>
                <w:sz w:val="28"/>
                <w:szCs w:val="28"/>
              </w:rPr>
              <w:t>月）</w:t>
            </w:r>
          </w:p>
        </w:tc>
        <w:tc>
          <w:tcPr>
            <w:tcW w:w="4853" w:type="dxa"/>
          </w:tcPr>
          <w:p w14:paraId="00D1B813">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rPr>
            </w:pPr>
            <w:r>
              <w:rPr>
                <w:rFonts w:hint="eastAsia" w:ascii="仿宋" w:hAnsi="仿宋" w:eastAsia="仿宋" w:cs="仿宋"/>
                <w:sz w:val="28"/>
                <w:szCs w:val="28"/>
                <w:vertAlign w:val="baseline"/>
              </w:rPr>
              <w:t>完成各项服务的续费开通与配置确认；验证官网和电子报在新服务期的运行状态；确认安全防护策略、数据服务接口正常运行，确保过渡期零中断</w:t>
            </w:r>
          </w:p>
        </w:tc>
      </w:tr>
      <w:tr w14:paraId="66D43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Pr>
          <w:p w14:paraId="6B4207AA">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rPr>
            </w:pPr>
            <w:r>
              <w:rPr>
                <w:rFonts w:hint="eastAsia" w:ascii="仿宋" w:hAnsi="仿宋" w:eastAsia="仿宋" w:cs="仿宋"/>
                <w:sz w:val="28"/>
                <w:szCs w:val="28"/>
              </w:rPr>
              <w:t>第三阶段：持续监控与项目验收</w:t>
            </w:r>
          </w:p>
        </w:tc>
        <w:tc>
          <w:tcPr>
            <w:tcW w:w="1927" w:type="dxa"/>
          </w:tcPr>
          <w:p w14:paraId="2090D5D8">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rPr>
            </w:pPr>
            <w:r>
              <w:rPr>
                <w:rFonts w:hint="eastAsia" w:ascii="仿宋" w:hAnsi="仿宋" w:eastAsia="仿宋" w:cs="仿宋"/>
                <w:sz w:val="28"/>
                <w:szCs w:val="28"/>
              </w:rPr>
              <w:t>第</w:t>
            </w:r>
            <w:r>
              <w:rPr>
                <w:rFonts w:hint="eastAsia" w:ascii="仿宋" w:hAnsi="仿宋" w:eastAsia="仿宋" w:cs="仿宋"/>
                <w:sz w:val="28"/>
                <w:szCs w:val="28"/>
                <w:lang w:val="en-US" w:eastAsia="zh-CN"/>
              </w:rPr>
              <w:t>2-7</w:t>
            </w:r>
            <w:r>
              <w:rPr>
                <w:rFonts w:hint="eastAsia" w:ascii="仿宋" w:hAnsi="仿宋" w:eastAsia="仿宋" w:cs="仿宋"/>
                <w:sz w:val="28"/>
                <w:szCs w:val="28"/>
              </w:rPr>
              <w:t>个月（</w:t>
            </w:r>
            <w:r>
              <w:rPr>
                <w:rFonts w:hint="eastAsia" w:ascii="仿宋" w:hAnsi="仿宋" w:eastAsia="仿宋" w:cs="仿宋"/>
                <w:sz w:val="28"/>
                <w:szCs w:val="28"/>
                <w:lang w:val="en-US" w:eastAsia="zh-CN"/>
              </w:rPr>
              <w:t>7-12</w:t>
            </w:r>
            <w:r>
              <w:rPr>
                <w:rFonts w:hint="eastAsia" w:ascii="仿宋" w:hAnsi="仿宋" w:eastAsia="仿宋" w:cs="仿宋"/>
                <w:sz w:val="28"/>
                <w:szCs w:val="28"/>
              </w:rPr>
              <w:t>月）</w:t>
            </w:r>
          </w:p>
        </w:tc>
        <w:tc>
          <w:tcPr>
            <w:tcW w:w="4853" w:type="dxa"/>
          </w:tcPr>
          <w:p w14:paraId="61D2BCF8">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rPr>
            </w:pPr>
            <w:r>
              <w:rPr>
                <w:rFonts w:hint="eastAsia" w:ascii="仿宋" w:hAnsi="仿宋" w:eastAsia="仿宋" w:cs="仿宋"/>
                <w:sz w:val="28"/>
                <w:szCs w:val="28"/>
                <w:vertAlign w:val="baseline"/>
              </w:rPr>
              <w:t>持续监控各项服务运行质量；核验安全监测与应急响应机制有效性；确认数据回传与归集服务稳定运行；完成项目验收与资料归档</w:t>
            </w:r>
          </w:p>
        </w:tc>
      </w:tr>
    </w:tbl>
    <w:p w14:paraId="3A723BB0">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四、资金预算与筹措</w:t>
      </w:r>
    </w:p>
    <w:p w14:paraId="5D3C46AB">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总投资与资金用途</w:t>
      </w:r>
    </w:p>
    <w:p w14:paraId="577D452D">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项目总投资60万元，全部申请专项资金支持，具体分配如下：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426"/>
        <w:gridCol w:w="5354"/>
      </w:tblGrid>
      <w:tr w14:paraId="04273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Pr>
          <w:p w14:paraId="4F8E6F79">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rPr>
            </w:pPr>
            <w:r>
              <w:rPr>
                <w:rFonts w:hint="eastAsia" w:ascii="仿宋" w:hAnsi="仿宋" w:eastAsia="仿宋" w:cs="仿宋"/>
                <w:sz w:val="28"/>
                <w:szCs w:val="28"/>
              </w:rPr>
              <w:t>费用类别</w:t>
            </w:r>
          </w:p>
        </w:tc>
        <w:tc>
          <w:tcPr>
            <w:tcW w:w="1426" w:type="dxa"/>
          </w:tcPr>
          <w:p w14:paraId="0A203C00">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rPr>
            </w:pPr>
            <w:r>
              <w:rPr>
                <w:rFonts w:hint="eastAsia" w:ascii="仿宋" w:hAnsi="仿宋" w:eastAsia="仿宋" w:cs="仿宋"/>
                <w:sz w:val="28"/>
                <w:szCs w:val="28"/>
              </w:rPr>
              <w:t>金额</w:t>
            </w:r>
          </w:p>
        </w:tc>
        <w:tc>
          <w:tcPr>
            <w:tcW w:w="5354" w:type="dxa"/>
          </w:tcPr>
          <w:p w14:paraId="7D5C54FA">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rPr>
            </w:pPr>
            <w:r>
              <w:rPr>
                <w:rFonts w:hint="eastAsia" w:ascii="仿宋" w:hAnsi="仿宋" w:eastAsia="仿宋" w:cs="仿宋"/>
                <w:sz w:val="28"/>
                <w:szCs w:val="28"/>
              </w:rPr>
              <w:t>主要用途</w:t>
            </w:r>
          </w:p>
        </w:tc>
      </w:tr>
      <w:tr w14:paraId="32E27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Pr>
          <w:p w14:paraId="4C732871">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云服务资源</w:t>
            </w:r>
            <w:r>
              <w:rPr>
                <w:rFonts w:hint="eastAsia" w:ascii="仿宋" w:hAnsi="仿宋" w:eastAsia="仿宋" w:cs="仿宋"/>
                <w:sz w:val="28"/>
                <w:szCs w:val="28"/>
                <w:lang w:val="en-US" w:eastAsia="zh-CN"/>
              </w:rPr>
              <w:t>费用</w:t>
            </w:r>
          </w:p>
        </w:tc>
        <w:tc>
          <w:tcPr>
            <w:tcW w:w="1426" w:type="dxa"/>
          </w:tcPr>
          <w:p w14:paraId="5F1C8B1F">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lang w:eastAsia="zh-CN"/>
              </w:rPr>
            </w:pPr>
            <w:r>
              <w:rPr>
                <w:rFonts w:hint="eastAsia" w:ascii="仿宋" w:hAnsi="仿宋" w:eastAsia="仿宋" w:cs="仿宋"/>
                <w:sz w:val="28"/>
                <w:szCs w:val="28"/>
              </w:rPr>
              <w:t>2</w:t>
            </w:r>
            <w:r>
              <w:rPr>
                <w:rFonts w:hint="eastAsia" w:ascii="仿宋" w:hAnsi="仿宋" w:eastAsia="仿宋" w:cs="仿宋"/>
                <w:sz w:val="28"/>
                <w:szCs w:val="28"/>
                <w:lang w:val="en-US" w:eastAsia="zh-CN"/>
              </w:rPr>
              <w:t>5</w:t>
            </w:r>
            <w:r>
              <w:rPr>
                <w:rFonts w:hint="eastAsia" w:ascii="仿宋" w:hAnsi="仿宋" w:eastAsia="仿宋" w:cs="仿宋"/>
                <w:sz w:val="28"/>
                <w:szCs w:val="28"/>
              </w:rPr>
              <w:t>万元</w:t>
            </w:r>
          </w:p>
        </w:tc>
        <w:tc>
          <w:tcPr>
            <w:tcW w:w="5354" w:type="dxa"/>
          </w:tcPr>
          <w:p w14:paraId="6C73154F">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lang w:eastAsia="zh-CN"/>
              </w:rPr>
            </w:pPr>
            <w:r>
              <w:rPr>
                <w:rFonts w:hint="eastAsia" w:ascii="仿宋" w:hAnsi="仿宋" w:eastAsia="仿宋" w:cs="仿宋"/>
                <w:sz w:val="28"/>
                <w:szCs w:val="28"/>
              </w:rPr>
              <w:t>现有云服务器的计算资源续费、存储资源续费、网络带宽与CDN加速续费、云数据库续费等，保障官网和电子报持续稳定运行</w:t>
            </w:r>
          </w:p>
        </w:tc>
      </w:tr>
      <w:tr w14:paraId="3D842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Pr>
          <w:p w14:paraId="4199F165">
            <w:pPr>
              <w:keepNext w:val="0"/>
              <w:keepLines w:val="0"/>
              <w:pageBreakBefore w:val="0"/>
              <w:widowControl w:val="0"/>
              <w:kinsoku/>
              <w:wordWrap/>
              <w:overflowPunct/>
              <w:topLinePunct w:val="0"/>
              <w:autoSpaceDE/>
              <w:autoSpaceDN/>
              <w:bidi w:val="0"/>
              <w:adjustRightInd/>
              <w:snapToGrid/>
              <w:spacing w:line="580" w:lineRule="exact"/>
              <w:textAlignment w:val="auto"/>
              <w:rPr>
                <w:rFonts w:hint="default" w:ascii="仿宋" w:hAnsi="仿宋" w:eastAsia="仿宋" w:cs="仿宋"/>
                <w:sz w:val="28"/>
                <w:szCs w:val="28"/>
                <w:lang w:val="en-US" w:eastAsia="zh-CN"/>
              </w:rPr>
            </w:pPr>
            <w:r>
              <w:rPr>
                <w:rFonts w:hint="eastAsia" w:ascii="仿宋" w:hAnsi="仿宋" w:eastAsia="仿宋" w:cs="仿宋"/>
                <w:sz w:val="28"/>
                <w:szCs w:val="28"/>
              </w:rPr>
              <w:t>安全服务</w:t>
            </w:r>
            <w:r>
              <w:rPr>
                <w:rFonts w:hint="eastAsia" w:ascii="仿宋" w:hAnsi="仿宋" w:eastAsia="仿宋" w:cs="仿宋"/>
                <w:sz w:val="28"/>
                <w:szCs w:val="28"/>
                <w:lang w:val="en-US" w:eastAsia="zh-CN"/>
              </w:rPr>
              <w:t>资源费用</w:t>
            </w:r>
          </w:p>
        </w:tc>
        <w:tc>
          <w:tcPr>
            <w:tcW w:w="1426" w:type="dxa"/>
          </w:tcPr>
          <w:p w14:paraId="673DDF4D">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w:t>
            </w:r>
            <w:r>
              <w:rPr>
                <w:rFonts w:hint="eastAsia" w:ascii="仿宋" w:hAnsi="仿宋" w:eastAsia="仿宋" w:cs="仿宋"/>
                <w:sz w:val="28"/>
                <w:szCs w:val="28"/>
              </w:rPr>
              <w:t>5万元</w:t>
            </w:r>
          </w:p>
        </w:tc>
        <w:tc>
          <w:tcPr>
            <w:tcW w:w="5354" w:type="dxa"/>
          </w:tcPr>
          <w:p w14:paraId="5817160F">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rPr>
            </w:pPr>
            <w:r>
              <w:rPr>
                <w:rFonts w:hint="eastAsia" w:ascii="仿宋" w:hAnsi="仿宋" w:eastAsia="仿宋" w:cs="仿宋"/>
                <w:sz w:val="28"/>
                <w:szCs w:val="28"/>
              </w:rPr>
              <w:t>现有DDoS高防、Web应用防火墙、主机安全、数据加密、7×24小时安全监测与应急响应等安全服务续费，配合完成等保测评整改</w:t>
            </w:r>
          </w:p>
        </w:tc>
      </w:tr>
      <w:tr w14:paraId="11473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Pr>
          <w:p w14:paraId="4FCFDBEE">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数据服务费</w:t>
            </w:r>
            <w:r>
              <w:rPr>
                <w:rFonts w:hint="eastAsia" w:ascii="仿宋" w:hAnsi="仿宋" w:eastAsia="仿宋" w:cs="仿宋"/>
                <w:sz w:val="28"/>
                <w:szCs w:val="28"/>
                <w:lang w:val="en-US" w:eastAsia="zh-CN"/>
              </w:rPr>
              <w:t>用</w:t>
            </w:r>
          </w:p>
        </w:tc>
        <w:tc>
          <w:tcPr>
            <w:tcW w:w="1426" w:type="dxa"/>
          </w:tcPr>
          <w:p w14:paraId="37D9BA5B">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10万元</w:t>
            </w:r>
          </w:p>
        </w:tc>
        <w:tc>
          <w:tcPr>
            <w:tcW w:w="5354" w:type="dxa"/>
          </w:tcPr>
          <w:p w14:paraId="27112FF4">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rPr>
            </w:pPr>
            <w:r>
              <w:rPr>
                <w:rFonts w:hint="eastAsia" w:ascii="仿宋" w:hAnsi="仿宋" w:eastAsia="仿宋" w:cs="仿宋"/>
                <w:sz w:val="28"/>
                <w:szCs w:val="28"/>
              </w:rPr>
              <w:t>现有传播及互动数据监测与回传服务续费、生产业务数据抓取与归集服务续费、数据接口维护等</w:t>
            </w:r>
          </w:p>
        </w:tc>
      </w:tr>
    </w:tbl>
    <w:p w14:paraId="704F62AD">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资金筹措方案</w:t>
      </w:r>
    </w:p>
    <w:p w14:paraId="3FAED1F5">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申请专项资金：60万元（占比100%）</w:t>
      </w:r>
    </w:p>
    <w:p w14:paraId="239A56EC">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已到位资金、银行贷款及其他资金：0万元</w:t>
      </w:r>
    </w:p>
    <w:p w14:paraId="226A16A6">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五、效益分析</w:t>
      </w:r>
    </w:p>
    <w:p w14:paraId="63FFF9B3">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经济效益</w:t>
      </w:r>
    </w:p>
    <w:p w14:paraId="2C574F36">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避免断服损失：及时续费可避免因云服务中断导致的官网和电子报无法访问，避免一次停服事件可能造成的公众信任损失和后续恢复成本。相比停服后紧急恢复的高昂代价，续费投入是最经济的选择。</w:t>
      </w:r>
    </w:p>
    <w:p w14:paraId="4AB3B33D">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运维成本可预期：通过年度续费方式，将官网和电子报的技术运维费用稳定在可预见的年度预算内，避免“断服-抢修-重建”的不可控支出。</w:t>
      </w:r>
    </w:p>
    <w:p w14:paraId="5AAF1830">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延续数据资产积累：保障数据服务不中断</w:t>
      </w:r>
      <w:bookmarkStart w:id="0" w:name="_GoBack"/>
      <w:bookmarkEnd w:id="0"/>
      <w:r>
        <w:rPr>
          <w:rFonts w:hint="eastAsia" w:ascii="仿宋" w:hAnsi="仿宋" w:eastAsia="仿宋" w:cs="仿宋"/>
          <w:sz w:val="32"/>
          <w:szCs w:val="32"/>
        </w:rPr>
        <w:t>，确保传播数据、用户数据的持续积累，维护已投入的数据体系建设成果，避免数据断裂导致的资产流失。</w:t>
      </w:r>
    </w:p>
    <w:p w14:paraId="4F227EA4">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社会效益</w:t>
      </w:r>
    </w:p>
    <w:p w14:paraId="672B036C">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保障宣传阵地安全稳定：通过续费确保安全防护不中断，中心官网和电子报两大对外宣传阵地不发生因断费导致的服务中断或内容安全事故，维护中心公信力与舆论引导能力。</w:t>
      </w:r>
    </w:p>
    <w:p w14:paraId="1E7A5611">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保障用户服务连续性：确保全国用户持续流畅地访问中心官网和电子报，不因服务中断影响用户体验和中心形象。</w:t>
      </w:r>
    </w:p>
    <w:p w14:paraId="6D5A4119">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保障数据治理成果延续：确保传播数据监测和业务数据归集的连续性，维护中心已建立的数据驱动运营能力，避免数据断档回退。</w:t>
      </w:r>
    </w:p>
    <w:p w14:paraId="20D7DEC5">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w:t>
      </w:r>
      <w:r>
        <w:rPr>
          <w:rFonts w:hint="eastAsia" w:ascii="仿宋" w:hAnsi="仿宋" w:eastAsia="仿宋" w:cs="仿宋"/>
          <w:sz w:val="32"/>
          <w:szCs w:val="32"/>
        </w:rPr>
        <w:t>可持续影响</w:t>
      </w:r>
    </w:p>
    <w:p w14:paraId="1C2508AA">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形成常态化运维保障机制：通过本次续费，将官网和电子报的技术运维纳入年度预算保障体系，后续年份可在此基础上持续申请运维经费，形成长效保障机制。</w:t>
      </w:r>
    </w:p>
    <w:p w14:paraId="754B1CB6">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为中心其他业务系统运维提供参照：本项目形成的“云服务+安全服务+数据服务”续费保障模式，可为中心其他系统的运维经费申请和管理提供经验参照。</w:t>
      </w:r>
    </w:p>
    <w:p w14:paraId="5C06F526">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六、风险分析与应对</w:t>
      </w:r>
    </w:p>
    <w:p w14:paraId="0E586D2D">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资金风险</w:t>
      </w:r>
    </w:p>
    <w:p w14:paraId="31091E7F">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风险点：专项资金未能及时到位，导致无法在合同到期前完成续费，造成服务中断。</w:t>
      </w:r>
    </w:p>
    <w:p w14:paraId="595DAB4E">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应对措施：提前启动采购程序，与财政部门保持密切沟通，确保资金审批与拨付进度匹配续费时间节点；必要时与供应商协商短期过渡方案。</w:t>
      </w:r>
    </w:p>
    <w:p w14:paraId="00512202">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合同衔接风险</w:t>
      </w:r>
    </w:p>
    <w:p w14:paraId="072C10BD">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风险点：新老合同衔接出现空档，导致服务短暂中断；或续费期间服务规格变更影响系统运行。</w:t>
      </w:r>
    </w:p>
    <w:p w14:paraId="644994BD">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应对措施：提前梳理现有合同到期时间，倒排采购计划，确保新合同生效时间早于旧合同到期时间；续费期间保持原有服务规格不变，避免变更带来的不稳定因素。</w:t>
      </w:r>
    </w:p>
    <w:p w14:paraId="32C8DEFF">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w:t>
      </w:r>
      <w:r>
        <w:rPr>
          <w:rFonts w:hint="eastAsia" w:ascii="仿宋" w:hAnsi="仿宋" w:eastAsia="仿宋" w:cs="仿宋"/>
          <w:sz w:val="32"/>
          <w:szCs w:val="32"/>
        </w:rPr>
        <w:t>安全风险</w:t>
      </w:r>
    </w:p>
    <w:p w14:paraId="7ECCF696">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风险点：续费过渡期间安全防护出现空窗期，官网和</w:t>
      </w:r>
      <w:r>
        <w:rPr>
          <w:rFonts w:hint="eastAsia" w:ascii="仿宋" w:hAnsi="仿宋" w:eastAsia="仿宋" w:cs="仿宋"/>
          <w:sz w:val="32"/>
          <w:szCs w:val="32"/>
          <w:lang w:val="en-US" w:eastAsia="zh-CN"/>
        </w:rPr>
        <w:t>两报</w:t>
      </w:r>
      <w:r>
        <w:rPr>
          <w:rFonts w:hint="eastAsia" w:ascii="仿宋" w:hAnsi="仿宋" w:eastAsia="仿宋" w:cs="仿宋"/>
          <w:sz w:val="32"/>
          <w:szCs w:val="32"/>
        </w:rPr>
        <w:t>电子报暴露于网络攻击之下。</w:t>
      </w:r>
    </w:p>
    <w:p w14:paraId="5F9F62CF">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应对措施：确保安全服务合同无缝续签，过渡期间加强内部人工监测；与服务商协商，在合同到期后保留一定宽限期，确保安全防护不中断。</w:t>
      </w:r>
    </w:p>
    <w:p w14:paraId="54E7440D">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p>
    <w:p w14:paraId="638B8679">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四</w:t>
      </w:r>
      <w:r>
        <w:rPr>
          <w:rFonts w:hint="eastAsia" w:ascii="仿宋" w:hAnsi="仿宋" w:eastAsia="仿宋" w:cs="仿宋"/>
          <w:sz w:val="32"/>
          <w:szCs w:val="32"/>
          <w:lang w:eastAsia="zh-CN"/>
        </w:rPr>
        <w:t>）</w:t>
      </w:r>
      <w:r>
        <w:rPr>
          <w:rFonts w:hint="eastAsia" w:ascii="仿宋" w:hAnsi="仿宋" w:eastAsia="仿宋" w:cs="仿宋"/>
          <w:sz w:val="32"/>
          <w:szCs w:val="32"/>
        </w:rPr>
        <w:t>供应商风险</w:t>
      </w:r>
    </w:p>
    <w:p w14:paraId="457A9F26">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风险点：现有供应商无法继续提供服务或大幅涨价，导致续费困难。</w:t>
      </w:r>
    </w:p>
    <w:p w14:paraId="33118DAB">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应对措施：采购过程中做好供应商备选方案，如现有供应商无法续约，及时启动替代供应商的迁移评估；合同中明确价格调整上限和服务退出条款。</w:t>
      </w:r>
    </w:p>
    <w:p w14:paraId="6D43ABE6">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七、结论</w:t>
      </w:r>
    </w:p>
    <w:p w14:paraId="40D21ADE">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本项目是保障中心官网和</w:t>
      </w:r>
      <w:r>
        <w:rPr>
          <w:rFonts w:hint="eastAsia" w:ascii="仿宋" w:hAnsi="仿宋" w:eastAsia="仿宋" w:cs="仿宋"/>
          <w:sz w:val="32"/>
          <w:szCs w:val="32"/>
          <w:lang w:val="en-US" w:eastAsia="zh-CN"/>
        </w:rPr>
        <w:t>两报</w:t>
      </w:r>
      <w:r>
        <w:rPr>
          <w:rFonts w:hint="eastAsia" w:ascii="仿宋" w:hAnsi="仿宋" w:eastAsia="仿宋" w:cs="仿宋"/>
          <w:sz w:val="32"/>
          <w:szCs w:val="32"/>
        </w:rPr>
        <w:t>电子报持续运行的刚性需求，是对现有云服务、安全服务、数据服务的续费保障。中心官网是融媒体中心的官方门户，电子报是重点报纸项目的数字化载体，两者已运行在成熟的云平台上，但现有服务合同即将到期，若无资金续费，将面临停服断网的直接风险。项目总预算60万元，用于保障各项服务的无缝续约，确保官网和电子报的安全稳定运行不中断。项目需求明确、预算合理、风险可控，具有完全的紧迫性和必要性。建议通过专项资金审批，保障续费采购及时完成，守住中心对外宣传阵地的安全底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3CDA61"/>
    <w:multiLevelType w:val="singleLevel"/>
    <w:tmpl w:val="EE3CDA61"/>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873F90"/>
    <w:rsid w:val="025A4B98"/>
    <w:rsid w:val="0DAB2E51"/>
    <w:rsid w:val="0EDD3036"/>
    <w:rsid w:val="0FAB0EE6"/>
    <w:rsid w:val="15113EE2"/>
    <w:rsid w:val="17A05062"/>
    <w:rsid w:val="2E110657"/>
    <w:rsid w:val="34BB30CA"/>
    <w:rsid w:val="47873F90"/>
    <w:rsid w:val="4FCC2568"/>
    <w:rsid w:val="5130373D"/>
    <w:rsid w:val="571B0378"/>
    <w:rsid w:val="5BC67F85"/>
    <w:rsid w:val="5ED13367"/>
    <w:rsid w:val="606C1599"/>
    <w:rsid w:val="64F9452C"/>
    <w:rsid w:val="740B01C3"/>
    <w:rsid w:val="74E6559F"/>
    <w:rsid w:val="780D36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4674</Words>
  <Characters>4755</Characters>
  <Lines>0</Lines>
  <Paragraphs>0</Paragraphs>
  <TotalTime>10</TotalTime>
  <ScaleCrop>false</ScaleCrop>
  <LinksUpToDate>false</LinksUpToDate>
  <CharactersWithSpaces>4761</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2026-05-05T13:45:00Z</dcterms:created>
  <dc:creator>leo</dc:creator>
  <cp:lastModifiedBy>leo</cp:lastModifiedBy>
  <dcterms:modified xsi:type="dcterms:W3CDTF">2026-05-06T12:29:38Z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ICV">
    <vt:lpwstr>9B528ED3794A40C9A39A0E795766F14B_11</vt:lpwstr>
  </property>
  <property fmtid="{D5CDD505-2E9C-101B-9397-08002B2CF9AE}" pid="4" name="KSOTemplateDocerSaveRecord">
    <vt:lpwstr>eyJoZGlkIjoiOWQ2NDFlNzhiM2YxMDc4NjU2YWU5NmRjYmQwODJkYjEiLCJ1c2VySWQiOiI1Njg3ODIwNzkifQ==</vt:lpwstr>
  </property>
</Properties>
</file>