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F8AB1">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方正公文小标宋" w:hAnsi="方正公文小标宋" w:eastAsia="方正公文小标宋" w:cs="方正公文小标宋"/>
          <w:sz w:val="44"/>
          <w:szCs w:val="44"/>
        </w:rPr>
      </w:pPr>
      <w:r>
        <w:rPr>
          <w:rFonts w:hint="eastAsia" w:ascii="方正公文小标宋" w:hAnsi="方正公文小标宋" w:eastAsia="方正公文小标宋" w:cs="方正公文小标宋"/>
          <w:sz w:val="44"/>
          <w:szCs w:val="44"/>
        </w:rPr>
        <w:t>中心技术平台基础运转资源续费</w:t>
      </w:r>
    </w:p>
    <w:p w14:paraId="2153BE20">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方正公文小标宋" w:hAnsi="方正公文小标宋" w:eastAsia="方正公文小标宋" w:cs="方正公文小标宋"/>
          <w:sz w:val="44"/>
          <w:szCs w:val="44"/>
        </w:rPr>
      </w:pPr>
      <w:r>
        <w:rPr>
          <w:rFonts w:hint="eastAsia" w:ascii="方正公文小标宋" w:hAnsi="方正公文小标宋" w:eastAsia="方正公文小标宋" w:cs="方正公文小标宋"/>
          <w:sz w:val="44"/>
          <w:szCs w:val="44"/>
        </w:rPr>
        <w:t>项目可行性研究报告</w:t>
      </w:r>
    </w:p>
    <w:p w14:paraId="08822342">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方正公文小标宋" w:hAnsi="方正公文小标宋" w:eastAsia="方正公文小标宋" w:cs="方正公文小标宋"/>
          <w:sz w:val="44"/>
          <w:szCs w:val="44"/>
        </w:rPr>
      </w:pPr>
    </w:p>
    <w:p w14:paraId="17015C84">
      <w:pPr>
        <w:keepNext w:val="0"/>
        <w:keepLines w:val="0"/>
        <w:pageBreakBefore w:val="0"/>
        <w:widowControl w:val="0"/>
        <w:kinsoku/>
        <w:wordWrap/>
        <w:overflowPunct/>
        <w:topLinePunct w:val="0"/>
        <w:autoSpaceDE/>
        <w:autoSpaceDN/>
        <w:bidi w:val="0"/>
        <w:adjustRightInd/>
        <w:snapToGrid/>
        <w:spacing w:line="580" w:lineRule="exact"/>
        <w:ind w:firstLine="643" w:firstLineChars="200"/>
        <w:jc w:val="left"/>
        <w:textAlignment w:val="auto"/>
        <w:rPr>
          <w:rFonts w:hint="eastAsia" w:ascii="仿宋" w:hAnsi="仿宋" w:eastAsia="仿宋" w:cs="仿宋"/>
          <w:b/>
          <w:bCs/>
          <w:sz w:val="32"/>
          <w:szCs w:val="32"/>
        </w:rPr>
      </w:pPr>
      <w:r>
        <w:rPr>
          <w:rFonts w:hint="eastAsia" w:ascii="仿宋" w:hAnsi="仿宋" w:eastAsia="仿宋" w:cs="仿宋"/>
          <w:b/>
          <w:bCs/>
          <w:sz w:val="32"/>
          <w:szCs w:val="32"/>
        </w:rPr>
        <w:t>一、项目概述</w:t>
      </w:r>
    </w:p>
    <w:p w14:paraId="2ECCDD4B">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（一）项目基本信息</w:t>
      </w:r>
    </w:p>
    <w:p w14:paraId="6FA0EDCB">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项目名称：中心技术平台基础运转资源续费项目</w:t>
      </w:r>
    </w:p>
    <w:p w14:paraId="3BDB1131">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申报单位：数字媒体研发部</w:t>
      </w:r>
    </w:p>
    <w:p w14:paraId="483A9F9C">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单位地址：昆明市丹霞路新闻中心</w:t>
      </w:r>
    </w:p>
    <w:p w14:paraId="11D643BB">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项目起止年限：2026年1月 - 2026年12月</w:t>
      </w:r>
    </w:p>
    <w:p w14:paraId="6CE2A674">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lang w:eastAsia="zh-CN"/>
        </w:rPr>
      </w:pPr>
      <w:r>
        <w:rPr>
          <w:rFonts w:hint="eastAsia" w:ascii="仿宋" w:hAnsi="仿宋" w:eastAsia="仿宋" w:cs="仿宋"/>
          <w:sz w:val="32"/>
          <w:szCs w:val="32"/>
        </w:rPr>
        <w:t>项目负责人：</w:t>
      </w:r>
      <w:r>
        <w:rPr>
          <w:rFonts w:hint="eastAsia" w:ascii="仿宋" w:hAnsi="仿宋" w:eastAsia="仿宋" w:cs="仿宋"/>
          <w:sz w:val="32"/>
          <w:szCs w:val="32"/>
          <w:lang w:val="en-US" w:eastAsia="zh-CN"/>
        </w:rPr>
        <w:t>刘少文（电话：18213981378）</w:t>
      </w:r>
    </w:p>
    <w:p w14:paraId="17F0840A">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申请资金：60万元</w:t>
      </w:r>
    </w:p>
    <w:p w14:paraId="0F8E2636">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（二）项目背景与必要性</w:t>
      </w:r>
    </w:p>
    <w:p w14:paraId="1D314EAE">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昆明市融媒体中心目前已建成并投入运行的业务系统包括：市融技术平台、中心官网、电子报平台（含昆明日报及都市时报）、直播平台、数据中心（媒资库）、可视化大屏、融媒AI平台、用户中心等。上述系统共同支撑着中心日常的新闻采编、内容发布、数据展示、AI辅助生产和用户管理等核心业务。其中，直播平台年均支撑中心各部门开展重大活动直播、主题报道直播、便民服务直播等近200场次，是中心扩大即时影响力的核心工具。</w:t>
      </w:r>
    </w:p>
    <w:p w14:paraId="53394F9A">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各业务系统的正常运行依赖于计算资源、数据库资源、存储资源、网络资源、安全资源和直播资源。计算资源提供服务器等基础运行环境，数据库资源提供数据存储和查询能力，存储资源保存音视频和图片等内容，网络资源保障各系统的互联互通和外部访问，安全资源提供网络攻击防护和数据加密等保障，直播资源支撑重大活动的推流、转码和实时互动。以上资源均需向服务商按年续费，部门已在2026年公共支撑预算中申报该项预算，多次沟通后仍被削减，目前无任何费用支撑项目运转。</w:t>
      </w:r>
    </w:p>
    <w:p w14:paraId="15AFBC48">
      <w:pPr>
        <w:keepNext w:val="0"/>
        <w:keepLines w:val="0"/>
        <w:pageBreakBefore w:val="0"/>
        <w:widowControl w:val="0"/>
        <w:kinsoku/>
        <w:wordWrap/>
        <w:overflowPunct/>
        <w:topLinePunct w:val="0"/>
        <w:autoSpaceDE/>
        <w:autoSpaceDN/>
        <w:bidi w:val="0"/>
        <w:adjustRightInd/>
        <w:snapToGrid/>
        <w:spacing w:line="580" w:lineRule="exact"/>
        <w:ind w:firstLine="643" w:firstLineChars="200"/>
        <w:jc w:val="left"/>
        <w:textAlignment w:val="auto"/>
        <w:rPr>
          <w:rFonts w:hint="eastAsia" w:ascii="仿宋" w:hAnsi="仿宋" w:eastAsia="仿宋" w:cs="仿宋"/>
          <w:b/>
          <w:bCs/>
          <w:sz w:val="32"/>
          <w:szCs w:val="32"/>
        </w:rPr>
      </w:pPr>
      <w:r>
        <w:rPr>
          <w:rFonts w:hint="eastAsia" w:ascii="仿宋" w:hAnsi="仿宋" w:eastAsia="仿宋" w:cs="仿宋"/>
          <w:b/>
          <w:bCs/>
          <w:sz w:val="32"/>
          <w:szCs w:val="32"/>
        </w:rPr>
        <w:t>若不能及时续费，计算和存储资源将因到期而被服务商释放，各业务系统应用将停止运行；数据库将无法访问，各系统数据存取功能瘫痪；网络资源中断将导致各系统无法访问；安全资源到期将使防火墙、主机防护等安全措施失效，系统暴露于网络攻击之下；直播资源中断将使直播推流和点播功能停用，全年近200场次直播活动无法开展。对于融媒体中心而言，将造成日常宣传业务的停滞及数据安全隐患。</w:t>
      </w:r>
    </w:p>
    <w:p w14:paraId="75C98B19">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本项目非新建项目，是为保障上述基础资源的续费，维持各业务系统的正常运行，确保基础资源不中断的刚性需求。</w:t>
      </w:r>
    </w:p>
    <w:p w14:paraId="4D622849">
      <w:pPr>
        <w:keepNext w:val="0"/>
        <w:keepLines w:val="0"/>
        <w:pageBreakBefore w:val="0"/>
        <w:widowControl w:val="0"/>
        <w:kinsoku/>
        <w:wordWrap/>
        <w:overflowPunct/>
        <w:topLinePunct w:val="0"/>
        <w:autoSpaceDE/>
        <w:autoSpaceDN/>
        <w:bidi w:val="0"/>
        <w:adjustRightInd/>
        <w:snapToGrid/>
        <w:spacing w:line="580" w:lineRule="exact"/>
        <w:ind w:firstLine="643" w:firstLineChars="200"/>
        <w:jc w:val="left"/>
        <w:textAlignment w:val="auto"/>
        <w:rPr>
          <w:rFonts w:hint="eastAsia" w:ascii="仿宋" w:hAnsi="仿宋" w:eastAsia="仿宋" w:cs="仿宋"/>
          <w:b/>
          <w:bCs/>
          <w:sz w:val="32"/>
          <w:szCs w:val="32"/>
        </w:rPr>
      </w:pPr>
      <w:r>
        <w:rPr>
          <w:rFonts w:hint="eastAsia" w:ascii="仿宋" w:hAnsi="仿宋" w:eastAsia="仿宋" w:cs="仿宋"/>
          <w:b/>
          <w:bCs/>
          <w:sz w:val="32"/>
          <w:szCs w:val="32"/>
        </w:rPr>
        <w:t>二、资源现状与续费内容</w:t>
      </w:r>
    </w:p>
    <w:p w14:paraId="57EDB517">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（一）总体说明</w:t>
      </w:r>
    </w:p>
    <w:p w14:paraId="322199A0">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本项目续费资源涵盖支撑中心各业务系统运行的计算资源、数据库资源、存储资源、网络资源、安全资源和直播资源，各类资源均以续费方式向云服务商进行充值续费，以维持各项服务持续有效。</w:t>
      </w:r>
    </w:p>
    <w:p w14:paraId="3B1AFADD">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（二）计算资源</w:t>
      </w:r>
    </w:p>
    <w:p w14:paraId="6A0A5944">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b/>
          <w:bCs/>
          <w:sz w:val="32"/>
          <w:szCs w:val="32"/>
        </w:rPr>
      </w:pPr>
      <w:r>
        <w:rPr>
          <w:rFonts w:hint="eastAsia" w:ascii="仿宋" w:hAnsi="仿宋" w:eastAsia="仿宋" w:cs="仿宋"/>
          <w:sz w:val="32"/>
          <w:szCs w:val="32"/>
        </w:rPr>
        <w:t>计算资源主要为云服务器，用于承载各业务系统的后台服务及应用运行，如市融技术平台的策采编审发流程、官网和电子报的内容发布、直播平台的推流转码、可视化大屏的数据展示、融媒AI平台的智能体调用、用户中心的身份认证以及媒资库的数据处理等。续费计算资源是维持所有业务系统正常运行的前提。</w:t>
      </w:r>
      <w:r>
        <w:rPr>
          <w:rFonts w:hint="eastAsia" w:ascii="仿宋" w:hAnsi="仿宋" w:eastAsia="仿宋" w:cs="仿宋"/>
          <w:b/>
          <w:bCs/>
          <w:sz w:val="32"/>
          <w:szCs w:val="32"/>
        </w:rPr>
        <w:t>若停止续费，各业务系统应用将停止运行，采编人员无法登录生产系统，外部用户无法访问官网和电子报，直播推流功能停用。</w:t>
      </w:r>
    </w:p>
    <w:p w14:paraId="1E443912">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（三）数据库资源</w:t>
      </w:r>
    </w:p>
    <w:p w14:paraId="40165997">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b/>
          <w:bCs/>
          <w:sz w:val="32"/>
          <w:szCs w:val="32"/>
        </w:rPr>
      </w:pPr>
      <w:r>
        <w:rPr>
          <w:rFonts w:hint="eastAsia" w:ascii="仿宋" w:hAnsi="仿宋" w:eastAsia="仿宋" w:cs="仿宋"/>
          <w:sz w:val="32"/>
          <w:szCs w:val="32"/>
        </w:rPr>
        <w:t>数据库资源用于存储各系统的业务数据，为高并发访问提供数据加速，支撑市融技术平台的稿件搜索和媒资库的素材、成品内容检索。</w:t>
      </w:r>
      <w:r>
        <w:rPr>
          <w:rFonts w:hint="eastAsia" w:ascii="仿宋" w:hAnsi="仿宋" w:eastAsia="仿宋" w:cs="仿宋"/>
          <w:b/>
          <w:bCs/>
          <w:sz w:val="32"/>
          <w:szCs w:val="32"/>
        </w:rPr>
        <w:t>若停止续费，数据库将无法访问，各系统的数据存取功能瘫痪，稿件和媒资的搜索功能中断，影响内容的编辑和复用。</w:t>
      </w:r>
    </w:p>
    <w:p w14:paraId="5E00AA64">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（四）存储资源</w:t>
      </w:r>
    </w:p>
    <w:p w14:paraId="02712B7D">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b/>
          <w:bCs/>
          <w:sz w:val="32"/>
          <w:szCs w:val="32"/>
        </w:rPr>
      </w:pPr>
      <w:r>
        <w:rPr>
          <w:rFonts w:hint="eastAsia" w:ascii="仿宋" w:hAnsi="仿宋" w:eastAsia="仿宋" w:cs="仿宋"/>
          <w:sz w:val="32"/>
          <w:szCs w:val="32"/>
        </w:rPr>
        <w:t>存储资源用于保存用户上传文件、官网及电子报图片附件、媒资库音视频素材等，保存系统程序和代码，统一收集系统日志用于故障排查和安全审计，对各系统关键数据进行定期保护。</w:t>
      </w:r>
      <w:r>
        <w:rPr>
          <w:rFonts w:hint="eastAsia" w:ascii="仿宋" w:hAnsi="仿宋" w:eastAsia="仿宋" w:cs="仿宋"/>
          <w:b/>
          <w:bCs/>
          <w:sz w:val="32"/>
          <w:szCs w:val="32"/>
        </w:rPr>
        <w:t>若停止续费，媒资库的历史素材将无法访问，系统日志和备份中断，遇到数据损坏时无法恢复。</w:t>
      </w:r>
    </w:p>
    <w:p w14:paraId="5AA8DBDF">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（五）网络资源</w:t>
      </w:r>
    </w:p>
    <w:p w14:paraId="1B402E2A">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b/>
          <w:bCs/>
          <w:sz w:val="32"/>
          <w:szCs w:val="32"/>
        </w:rPr>
      </w:pPr>
      <w:r>
        <w:rPr>
          <w:rFonts w:hint="eastAsia" w:ascii="仿宋" w:hAnsi="仿宋" w:eastAsia="仿宋" w:cs="仿宋"/>
          <w:sz w:val="32"/>
          <w:szCs w:val="32"/>
        </w:rPr>
        <w:t>网络资源包括负载均衡、CDN加速、NAT网关等。负载均衡在多台服务器间分配流量，保障访问稳定。CDN加速保障全国范围内的访问体验。</w:t>
      </w:r>
      <w:r>
        <w:rPr>
          <w:rFonts w:hint="eastAsia" w:ascii="仿宋" w:hAnsi="仿宋" w:eastAsia="仿宋" w:cs="仿宋"/>
          <w:b/>
          <w:bCs/>
          <w:sz w:val="32"/>
          <w:szCs w:val="32"/>
        </w:rPr>
        <w:t>若停止续费，官网和电子报等对外服务将出现访问缓慢甚至无法打开的情况。</w:t>
      </w:r>
    </w:p>
    <w:p w14:paraId="43452B55">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（六）安全资源</w:t>
      </w:r>
    </w:p>
    <w:p w14:paraId="68CD9354">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b/>
          <w:bCs/>
          <w:sz w:val="32"/>
          <w:szCs w:val="32"/>
        </w:rPr>
      </w:pPr>
      <w:r>
        <w:rPr>
          <w:rFonts w:hint="eastAsia" w:ascii="仿宋" w:hAnsi="仿宋" w:eastAsia="仿宋" w:cs="仿宋"/>
          <w:sz w:val="32"/>
          <w:szCs w:val="32"/>
        </w:rPr>
        <w:t>安全资源包括WAF防火墙、主机安全、SSL证书、网页防篡改、容器安全和云监控。WAF防火墙用于抵御Web攻击，保护各系统免受常见网络威胁。网页防篡改服务用于保护中心官网静态页面的完整性，防止被恶意篡改。主机安全和容器安全提供入侵检测、漏洞扫描和安全加固。SSL证书用于实现HTTPS加密传输，保障用户与系统之间的数据安全。云监控服务实时监测服务器和数据库的运行状态，提供告警通知。</w:t>
      </w:r>
      <w:r>
        <w:rPr>
          <w:rFonts w:hint="eastAsia" w:ascii="仿宋" w:hAnsi="仿宋" w:eastAsia="仿宋" w:cs="仿宋"/>
          <w:b/>
          <w:bCs/>
          <w:sz w:val="32"/>
          <w:szCs w:val="32"/>
        </w:rPr>
        <w:t>若停止续费，各技术平台将暴露在攻击风险下，官网可能被篡改并发布不良信息，服务器漏洞无法及时修复，SSL证书到期后用户访问时浏览器将提示安全风险，云监控中断后运维人员将无法及时发现和处理系统故障。</w:t>
      </w:r>
    </w:p>
    <w:p w14:paraId="17F72349">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（七）直播及回放资源</w:t>
      </w:r>
    </w:p>
    <w:p w14:paraId="4743DE87">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b/>
          <w:bCs/>
          <w:sz w:val="32"/>
          <w:szCs w:val="32"/>
        </w:rPr>
      </w:pPr>
      <w:r>
        <w:rPr>
          <w:rFonts w:hint="eastAsia" w:ascii="仿宋" w:hAnsi="仿宋" w:eastAsia="仿宋" w:cs="仿宋"/>
          <w:sz w:val="32"/>
          <w:szCs w:val="32"/>
        </w:rPr>
        <w:t>直播及回放资源支撑着中心年均近200场次的重大活动直播推流、转码、多机位切换和实时互动，以及直播录制视频的存储和回看。</w:t>
      </w:r>
      <w:bookmarkStart w:id="0" w:name="_GoBack"/>
      <w:r>
        <w:rPr>
          <w:rFonts w:hint="eastAsia" w:ascii="仿宋" w:hAnsi="仿宋" w:eastAsia="仿宋" w:cs="仿宋"/>
          <w:b/>
          <w:bCs/>
          <w:sz w:val="32"/>
          <w:szCs w:val="32"/>
        </w:rPr>
        <w:t>若停止续费，直播功能将无法使用，点播内容无法访问，直播内容无法回看，历史视频资源也无法观看，直接影响中心多个部门的日常和活动直播工作。</w:t>
      </w:r>
    </w:p>
    <w:bookmarkEnd w:id="0"/>
    <w:p w14:paraId="3ECFD16E">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综上，上述资源共同构成中心各业务系统的基础运行底座。计算、数据库、存储提供系统运转的基本能力，网络提供访问和连接的通道，安全提供防护保障，直播提供重大活动的传播支撑。任何一类资源的断供，都将导致多个业务系统同时出现问题。由于各类资源均按年度续费，到期即停止服务，无法通过内部调配或其他方式替代，因此及时续费是保障各业务系统持续运行的基本前提，具有完全的紧迫性和必要性。</w:t>
      </w:r>
    </w:p>
    <w:p w14:paraId="34B9BD5B">
      <w:pPr>
        <w:keepNext w:val="0"/>
        <w:keepLines w:val="0"/>
        <w:pageBreakBefore w:val="0"/>
        <w:widowControl w:val="0"/>
        <w:kinsoku/>
        <w:wordWrap/>
        <w:overflowPunct/>
        <w:topLinePunct w:val="0"/>
        <w:autoSpaceDE/>
        <w:autoSpaceDN/>
        <w:bidi w:val="0"/>
        <w:adjustRightInd/>
        <w:snapToGrid/>
        <w:spacing w:line="580" w:lineRule="exact"/>
        <w:ind w:firstLine="643" w:firstLineChars="200"/>
        <w:jc w:val="left"/>
        <w:textAlignment w:val="auto"/>
        <w:rPr>
          <w:rFonts w:hint="eastAsia" w:ascii="仿宋" w:hAnsi="仿宋" w:eastAsia="仿宋" w:cs="仿宋"/>
          <w:b/>
          <w:bCs/>
          <w:sz w:val="32"/>
          <w:szCs w:val="32"/>
        </w:rPr>
      </w:pPr>
      <w:r>
        <w:rPr>
          <w:rFonts w:hint="eastAsia" w:ascii="仿宋" w:hAnsi="仿宋" w:eastAsia="仿宋" w:cs="仿宋"/>
          <w:b/>
          <w:bCs/>
          <w:sz w:val="32"/>
          <w:szCs w:val="32"/>
        </w:rPr>
        <w:t>三、实施进度安排</w:t>
      </w:r>
    </w:p>
    <w:p w14:paraId="53BF5B53">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本项目为服务续费采购项目，主要工作是在资源耗尽前完成续费流程，保障服务不中断。</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2213"/>
        <w:gridCol w:w="4323"/>
      </w:tblGrid>
      <w:tr w14:paraId="2262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B7D0834">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阶段</w:t>
            </w:r>
          </w:p>
        </w:tc>
        <w:tc>
          <w:tcPr>
            <w:tcW w:w="2213" w:type="dxa"/>
          </w:tcPr>
          <w:p w14:paraId="35082E0E">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时间范围</w:t>
            </w:r>
          </w:p>
        </w:tc>
        <w:tc>
          <w:tcPr>
            <w:tcW w:w="4323" w:type="dxa"/>
          </w:tcPr>
          <w:p w14:paraId="145CA17D">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主要任务</w:t>
            </w:r>
          </w:p>
        </w:tc>
      </w:tr>
      <w:tr w14:paraId="0125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1EA6874">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第一阶段：续费准备与采购启动</w:t>
            </w:r>
          </w:p>
        </w:tc>
        <w:tc>
          <w:tcPr>
            <w:tcW w:w="2213" w:type="dxa"/>
          </w:tcPr>
          <w:p w14:paraId="10848EFF">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vertAlign w:val="baseline"/>
                <w14:textFill>
                  <w14:solidFill>
                    <w14:schemeClr w14:val="tx1"/>
                  </w14:solidFill>
                </w14:textFill>
              </w:rPr>
              <w:t>第</w:t>
            </w:r>
            <w:r>
              <w:rPr>
                <w:rFonts w:hint="eastAsia" w:ascii="仿宋" w:hAnsi="仿宋" w:eastAsia="仿宋" w:cs="仿宋"/>
                <w:color w:val="000000" w:themeColor="text1"/>
                <w:sz w:val="28"/>
                <w:szCs w:val="28"/>
                <w:vertAlign w:val="baseline"/>
                <w:lang w:val="en-US" w:eastAsia="zh-CN"/>
                <w14:textFill>
                  <w14:solidFill>
                    <w14:schemeClr w14:val="tx1"/>
                  </w14:solidFill>
                </w14:textFill>
              </w:rPr>
              <w:t>1-2</w:t>
            </w:r>
            <w:r>
              <w:rPr>
                <w:rFonts w:hint="eastAsia" w:ascii="仿宋" w:hAnsi="仿宋" w:eastAsia="仿宋" w:cs="仿宋"/>
                <w:color w:val="000000" w:themeColor="text1"/>
                <w:sz w:val="28"/>
                <w:szCs w:val="28"/>
                <w:vertAlign w:val="baseline"/>
                <w14:textFill>
                  <w14:solidFill>
                    <w14:schemeClr w14:val="tx1"/>
                  </w14:solidFill>
                </w14:textFill>
              </w:rPr>
              <w:t>个月</w:t>
            </w:r>
            <w:r>
              <w:rPr>
                <w:rFonts w:hint="eastAsia" w:ascii="仿宋" w:hAnsi="仿宋" w:eastAsia="仿宋" w:cs="仿宋"/>
                <w:color w:val="000000" w:themeColor="text1"/>
                <w:sz w:val="28"/>
                <w:szCs w:val="28"/>
                <w:vertAlign w:val="baseline"/>
                <w:lang w:eastAsia="zh-CN"/>
                <w14:textFill>
                  <w14:solidFill>
                    <w14:schemeClr w14:val="tx1"/>
                  </w14:solidFill>
                </w14:textFill>
              </w:rPr>
              <w:t>（</w:t>
            </w:r>
            <w:r>
              <w:rPr>
                <w:rFonts w:hint="eastAsia" w:ascii="仿宋" w:hAnsi="仿宋" w:eastAsia="仿宋" w:cs="仿宋"/>
                <w:color w:val="000000" w:themeColor="text1"/>
                <w:sz w:val="28"/>
                <w:szCs w:val="28"/>
                <w:vertAlign w:val="baseline"/>
                <w:lang w:val="en-US" w:eastAsia="zh-CN"/>
                <w14:textFill>
                  <w14:solidFill>
                    <w14:schemeClr w14:val="tx1"/>
                  </w14:solidFill>
                </w14:textFill>
              </w:rPr>
              <w:t>6-7月</w:t>
            </w:r>
            <w:r>
              <w:rPr>
                <w:rFonts w:hint="eastAsia" w:ascii="仿宋" w:hAnsi="仿宋" w:eastAsia="仿宋" w:cs="仿宋"/>
                <w:color w:val="000000" w:themeColor="text1"/>
                <w:sz w:val="28"/>
                <w:szCs w:val="28"/>
                <w:vertAlign w:val="baseline"/>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ab/>
            </w:r>
          </w:p>
        </w:tc>
        <w:tc>
          <w:tcPr>
            <w:tcW w:w="4323" w:type="dxa"/>
          </w:tcPr>
          <w:p w14:paraId="3755C9D4">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vertAlign w:val="baseline"/>
                <w14:textFill>
                  <w14:solidFill>
                    <w14:schemeClr w14:val="tx1"/>
                  </w14:solidFill>
                </w14:textFill>
              </w:rPr>
              <w:t>汇总现有各类资源的到期时间，编制续费清单；确定各项资源的续费规格和计费方式；编制采购文件并启动采购程序</w:t>
            </w:r>
          </w:p>
        </w:tc>
      </w:tr>
      <w:tr w14:paraId="4ECA4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4FEDBD6F">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第二阶段：采购执行与合同签订</w:t>
            </w:r>
          </w:p>
        </w:tc>
        <w:tc>
          <w:tcPr>
            <w:tcW w:w="2213" w:type="dxa"/>
          </w:tcPr>
          <w:p w14:paraId="3EEDF3AD">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第</w:t>
            </w:r>
            <w:r>
              <w:rPr>
                <w:rFonts w:hint="eastAsia" w:ascii="仿宋" w:hAnsi="仿宋" w:eastAsia="仿宋" w:cs="仿宋"/>
                <w:color w:val="000000" w:themeColor="text1"/>
                <w:sz w:val="28"/>
                <w:szCs w:val="28"/>
                <w14:textFill>
                  <w14:solidFill>
                    <w14:schemeClr w14:val="tx1"/>
                  </w14:solidFill>
                </w14:textFill>
              </w:rPr>
              <w:t>2个月（</w:t>
            </w:r>
            <w:r>
              <w:rPr>
                <w:rFonts w:hint="eastAsia" w:ascii="仿宋" w:hAnsi="仿宋" w:eastAsia="仿宋" w:cs="仿宋"/>
                <w:color w:val="000000" w:themeColor="text1"/>
                <w:sz w:val="28"/>
                <w:szCs w:val="28"/>
                <w:lang w:val="en-US" w:eastAsia="zh-CN"/>
                <w14:textFill>
                  <w14:solidFill>
                    <w14:schemeClr w14:val="tx1"/>
                  </w14:solidFill>
                </w14:textFill>
              </w:rPr>
              <w:t>7</w:t>
            </w:r>
            <w:r>
              <w:rPr>
                <w:rFonts w:hint="eastAsia" w:ascii="仿宋" w:hAnsi="仿宋" w:eastAsia="仿宋" w:cs="仿宋"/>
                <w:color w:val="000000" w:themeColor="text1"/>
                <w:sz w:val="28"/>
                <w:szCs w:val="28"/>
                <w14:textFill>
                  <w14:solidFill>
                    <w14:schemeClr w14:val="tx1"/>
                  </w14:solidFill>
                </w14:textFill>
              </w:rPr>
              <w:t>月）</w:t>
            </w:r>
          </w:p>
        </w:tc>
        <w:tc>
          <w:tcPr>
            <w:tcW w:w="4323" w:type="dxa"/>
          </w:tcPr>
          <w:p w14:paraId="0B22DC2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vertAlign w:val="baseline"/>
                <w14:textFill>
                  <w14:solidFill>
                    <w14:schemeClr w14:val="tx1"/>
                  </w14:solidFill>
                </w14:textFill>
              </w:rPr>
              <w:t>完成供应商选择与商务谈判；签订云资源、安全资源和数据资源续费合同；确保新合同起止时间与现有合同到期时间衔接</w:t>
            </w:r>
          </w:p>
        </w:tc>
      </w:tr>
      <w:tr w14:paraId="22EE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1072FA67">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第三阶段：续费确认与过渡验证</w:t>
            </w:r>
          </w:p>
        </w:tc>
        <w:tc>
          <w:tcPr>
            <w:tcW w:w="2213" w:type="dxa"/>
          </w:tcPr>
          <w:p w14:paraId="4E03E392">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w:t>
            </w:r>
            <w:r>
              <w:rPr>
                <w:rFonts w:hint="eastAsia" w:ascii="仿宋" w:hAnsi="仿宋" w:eastAsia="仿宋" w:cs="仿宋"/>
                <w:color w:val="000000" w:themeColor="text1"/>
                <w:sz w:val="28"/>
                <w:szCs w:val="28"/>
                <w:lang w:val="en-US" w:eastAsia="zh-CN"/>
                <w14:textFill>
                  <w14:solidFill>
                    <w14:schemeClr w14:val="tx1"/>
                  </w14:solidFill>
                </w14:textFill>
              </w:rPr>
              <w:t>2-3</w:t>
            </w:r>
            <w:r>
              <w:rPr>
                <w:rFonts w:hint="eastAsia" w:ascii="仿宋" w:hAnsi="仿宋" w:eastAsia="仿宋" w:cs="仿宋"/>
                <w:color w:val="000000" w:themeColor="text1"/>
                <w:sz w:val="28"/>
                <w:szCs w:val="28"/>
                <w14:textFill>
                  <w14:solidFill>
                    <w14:schemeClr w14:val="tx1"/>
                  </w14:solidFill>
                </w14:textFill>
              </w:rPr>
              <w:t>个月（</w:t>
            </w:r>
            <w:r>
              <w:rPr>
                <w:rFonts w:hint="eastAsia" w:ascii="仿宋" w:hAnsi="仿宋" w:eastAsia="仿宋" w:cs="仿宋"/>
                <w:color w:val="000000" w:themeColor="text1"/>
                <w:sz w:val="28"/>
                <w:szCs w:val="28"/>
                <w:lang w:val="en-US" w:eastAsia="zh-CN"/>
                <w14:textFill>
                  <w14:solidFill>
                    <w14:schemeClr w14:val="tx1"/>
                  </w14:solidFill>
                </w14:textFill>
              </w:rPr>
              <w:t>7-8</w:t>
            </w:r>
            <w:r>
              <w:rPr>
                <w:rFonts w:hint="eastAsia" w:ascii="仿宋" w:hAnsi="仿宋" w:eastAsia="仿宋" w:cs="仿宋"/>
                <w:color w:val="000000" w:themeColor="text1"/>
                <w:sz w:val="28"/>
                <w:szCs w:val="28"/>
                <w14:textFill>
                  <w14:solidFill>
                    <w14:schemeClr w14:val="tx1"/>
                  </w14:solidFill>
                </w14:textFill>
              </w:rPr>
              <w:t>月）</w:t>
            </w:r>
          </w:p>
        </w:tc>
        <w:tc>
          <w:tcPr>
            <w:tcW w:w="4323" w:type="dxa"/>
          </w:tcPr>
          <w:p w14:paraId="3F639E66">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vertAlign w:val="baseline"/>
                <w14:textFill>
                  <w14:solidFill>
                    <w14:schemeClr w14:val="tx1"/>
                  </w14:solidFill>
                </w14:textFill>
              </w:rPr>
              <w:t>完成各项资源的续费支付和配置确认；逐一核验各业务系统运行状态；确认安全防护和数据服务功能正常，确保过渡期无中断</w:t>
            </w:r>
          </w:p>
        </w:tc>
      </w:tr>
      <w:tr w14:paraId="4E5C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0CD17E71">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第四阶段：运行监控与项目验收</w:t>
            </w:r>
          </w:p>
        </w:tc>
        <w:tc>
          <w:tcPr>
            <w:tcW w:w="2213" w:type="dxa"/>
          </w:tcPr>
          <w:p w14:paraId="4F0AFF9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w:t>
            </w:r>
            <w:r>
              <w:rPr>
                <w:rFonts w:hint="eastAsia" w:ascii="仿宋" w:hAnsi="仿宋" w:eastAsia="仿宋" w:cs="仿宋"/>
                <w:color w:val="000000" w:themeColor="text1"/>
                <w:sz w:val="28"/>
                <w:szCs w:val="28"/>
                <w:lang w:val="en-US" w:eastAsia="zh-CN"/>
                <w14:textFill>
                  <w14:solidFill>
                    <w14:schemeClr w14:val="tx1"/>
                  </w14:solidFill>
                </w14:textFill>
              </w:rPr>
              <w:t>2-7</w:t>
            </w:r>
            <w:r>
              <w:rPr>
                <w:rFonts w:hint="eastAsia" w:ascii="仿宋" w:hAnsi="仿宋" w:eastAsia="仿宋" w:cs="仿宋"/>
                <w:color w:val="000000" w:themeColor="text1"/>
                <w:sz w:val="28"/>
                <w:szCs w:val="28"/>
                <w14:textFill>
                  <w14:solidFill>
                    <w14:schemeClr w14:val="tx1"/>
                  </w14:solidFill>
                </w14:textFill>
              </w:rPr>
              <w:t>个月</w:t>
            </w:r>
          </w:p>
          <w:p w14:paraId="04B3EF88">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7-</w:t>
            </w:r>
            <w:r>
              <w:rPr>
                <w:rFonts w:hint="eastAsia" w:ascii="仿宋" w:hAnsi="仿宋" w:eastAsia="仿宋" w:cs="仿宋"/>
                <w:color w:val="000000" w:themeColor="text1"/>
                <w:sz w:val="28"/>
                <w:szCs w:val="28"/>
                <w14:textFill>
                  <w14:solidFill>
                    <w14:schemeClr w14:val="tx1"/>
                  </w14:solidFill>
                </w14:textFill>
              </w:rPr>
              <w:t>12月）</w:t>
            </w:r>
          </w:p>
        </w:tc>
        <w:tc>
          <w:tcPr>
            <w:tcW w:w="4323" w:type="dxa"/>
          </w:tcPr>
          <w:p w14:paraId="2E9DDE1B">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cs="仿宋"/>
                <w:color w:val="000000" w:themeColor="text1"/>
                <w:sz w:val="28"/>
                <w:szCs w:val="28"/>
                <w:vertAlign w:val="baseline"/>
                <w14:textFill>
                  <w14:solidFill>
                    <w14:schemeClr w14:val="tx1"/>
                  </w14:solidFill>
                </w14:textFill>
              </w:rPr>
            </w:pPr>
            <w:r>
              <w:rPr>
                <w:rFonts w:hint="eastAsia" w:ascii="仿宋" w:hAnsi="仿宋" w:eastAsia="仿宋" w:cs="仿宋"/>
                <w:color w:val="000000" w:themeColor="text1"/>
                <w:sz w:val="28"/>
                <w:szCs w:val="28"/>
                <w:vertAlign w:val="baseline"/>
                <w14:textFill>
                  <w14:solidFill>
                    <w14:schemeClr w14:val="tx1"/>
                  </w14:solidFill>
                </w14:textFill>
              </w:rPr>
              <w:t>持续监控各类资源运行质量，确认所有系统功能正常；完成项目验收和资料归档</w:t>
            </w:r>
          </w:p>
        </w:tc>
      </w:tr>
    </w:tbl>
    <w:p w14:paraId="18299107">
      <w:pPr>
        <w:keepNext w:val="0"/>
        <w:keepLines w:val="0"/>
        <w:pageBreakBefore w:val="0"/>
        <w:widowControl w:val="0"/>
        <w:kinsoku/>
        <w:wordWrap/>
        <w:overflowPunct/>
        <w:topLinePunct w:val="0"/>
        <w:autoSpaceDE/>
        <w:autoSpaceDN/>
        <w:bidi w:val="0"/>
        <w:adjustRightInd/>
        <w:snapToGrid/>
        <w:spacing w:line="580" w:lineRule="exact"/>
        <w:ind w:firstLine="643" w:firstLineChars="200"/>
        <w:jc w:val="left"/>
        <w:textAlignment w:val="auto"/>
        <w:rPr>
          <w:rFonts w:hint="eastAsia" w:ascii="仿宋" w:hAnsi="仿宋" w:eastAsia="仿宋" w:cs="仿宋"/>
          <w:b/>
          <w:bCs/>
          <w:sz w:val="32"/>
          <w:szCs w:val="32"/>
        </w:rPr>
      </w:pPr>
      <w:r>
        <w:rPr>
          <w:rFonts w:hint="eastAsia" w:ascii="仿宋" w:hAnsi="仿宋" w:eastAsia="仿宋" w:cs="仿宋"/>
          <w:b/>
          <w:bCs/>
          <w:sz w:val="32"/>
          <w:szCs w:val="32"/>
        </w:rPr>
        <w:t>四、资金预算与筹措</w:t>
      </w:r>
    </w:p>
    <w:p w14:paraId="3346AA4F">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（一）总投资与资金用途</w:t>
      </w:r>
    </w:p>
    <w:p w14:paraId="7C5D6405">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项目总投资60万元，全部申请专项资金支持。预算按资源类型分配如下：</w:t>
      </w:r>
    </w:p>
    <w:tbl>
      <w:tblPr>
        <w:tblStyle w:val="2"/>
        <w:tblW w:w="935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35"/>
        <w:gridCol w:w="1679"/>
        <w:gridCol w:w="5944"/>
      </w:tblGrid>
      <w:tr w14:paraId="39BE0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9" w:hRule="atLeast"/>
        </w:trPr>
        <w:tc>
          <w:tcPr>
            <w:tcW w:w="1735" w:type="dxa"/>
            <w:tcBorders>
              <w:top w:val="single" w:color="000000" w:sz="4" w:space="0"/>
              <w:left w:val="single" w:color="000000" w:sz="4" w:space="0"/>
              <w:bottom w:val="single" w:color="000000" w:sz="4" w:space="0"/>
              <w:right w:val="single" w:color="000000" w:sz="4" w:space="0"/>
            </w:tcBorders>
            <w:shd w:val="clear" w:color="auto" w:fill="auto"/>
            <w:vAlign w:val="top"/>
          </w:tcPr>
          <w:p w14:paraId="3DC71C91">
            <w:pPr>
              <w:keepNext w:val="0"/>
              <w:keepLines w:val="0"/>
              <w:widowControl/>
              <w:suppressLineNumbers w:val="0"/>
              <w:jc w:val="center"/>
              <w:textAlignment w:val="top"/>
              <w:rPr>
                <w:rFonts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类别</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top"/>
          </w:tcPr>
          <w:p w14:paraId="5BBF4B37">
            <w:pPr>
              <w:keepNext w:val="0"/>
              <w:keepLines w:val="0"/>
              <w:widowControl/>
              <w:suppressLineNumbers w:val="0"/>
              <w:jc w:val="center"/>
              <w:textAlignment w:val="top"/>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金额（万元）</w:t>
            </w:r>
          </w:p>
        </w:tc>
        <w:tc>
          <w:tcPr>
            <w:tcW w:w="5944" w:type="dxa"/>
            <w:tcBorders>
              <w:top w:val="single" w:color="000000" w:sz="4" w:space="0"/>
              <w:left w:val="single" w:color="000000" w:sz="4" w:space="0"/>
              <w:bottom w:val="single" w:color="000000" w:sz="4" w:space="0"/>
              <w:right w:val="single" w:color="000000" w:sz="4" w:space="0"/>
            </w:tcBorders>
            <w:shd w:val="clear" w:color="auto" w:fill="auto"/>
            <w:vAlign w:val="top"/>
          </w:tcPr>
          <w:p w14:paraId="409FB054">
            <w:pPr>
              <w:keepNext w:val="0"/>
              <w:keepLines w:val="0"/>
              <w:widowControl/>
              <w:suppressLineNumbers w:val="0"/>
              <w:jc w:val="center"/>
              <w:textAlignment w:val="top"/>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主要用途</w:t>
            </w:r>
          </w:p>
        </w:tc>
      </w:tr>
      <w:tr w14:paraId="7C376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9" w:hRule="atLeast"/>
        </w:trPr>
        <w:tc>
          <w:tcPr>
            <w:tcW w:w="1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4AC3B">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计算资源</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956FCA">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20</w:t>
            </w:r>
          </w:p>
        </w:tc>
        <w:tc>
          <w:tcPr>
            <w:tcW w:w="59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D7EB59">
            <w:pPr>
              <w:keepNext w:val="0"/>
              <w:keepLines w:val="0"/>
              <w:widowControl/>
              <w:suppressLineNumbers w:val="0"/>
              <w:jc w:val="left"/>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为平台提供基础运转保障</w:t>
            </w:r>
          </w:p>
        </w:tc>
      </w:tr>
      <w:tr w14:paraId="193A8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9" w:hRule="atLeast"/>
        </w:trPr>
        <w:tc>
          <w:tcPr>
            <w:tcW w:w="1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22245E">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数据库资源</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91E9CB">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14</w:t>
            </w:r>
          </w:p>
        </w:tc>
        <w:tc>
          <w:tcPr>
            <w:tcW w:w="59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F03127">
            <w:pPr>
              <w:keepNext w:val="0"/>
              <w:keepLines w:val="0"/>
              <w:widowControl/>
              <w:suppressLineNumbers w:val="0"/>
              <w:jc w:val="left"/>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为平台提供信息数据存储的能力</w:t>
            </w:r>
          </w:p>
        </w:tc>
      </w:tr>
      <w:tr w14:paraId="1C3A9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9" w:hRule="atLeast"/>
        </w:trPr>
        <w:tc>
          <w:tcPr>
            <w:tcW w:w="1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D8BDD6">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存储资源</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57D8F">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3</w:t>
            </w:r>
          </w:p>
        </w:tc>
        <w:tc>
          <w:tcPr>
            <w:tcW w:w="59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74ADE0">
            <w:pPr>
              <w:keepNext w:val="0"/>
              <w:keepLines w:val="0"/>
              <w:widowControl/>
              <w:suppressLineNumbers w:val="0"/>
              <w:jc w:val="left"/>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为平台音视频、图片等内容提供存储</w:t>
            </w:r>
          </w:p>
        </w:tc>
      </w:tr>
      <w:tr w14:paraId="0675E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9" w:hRule="atLeast"/>
        </w:trPr>
        <w:tc>
          <w:tcPr>
            <w:tcW w:w="1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15AB05">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网络资源</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214A4">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7</w:t>
            </w:r>
          </w:p>
        </w:tc>
        <w:tc>
          <w:tcPr>
            <w:tcW w:w="59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C61544">
            <w:pPr>
              <w:keepNext w:val="0"/>
              <w:keepLines w:val="0"/>
              <w:widowControl/>
              <w:suppressLineNumbers w:val="0"/>
              <w:jc w:val="left"/>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为技术平台提供网络访问支持</w:t>
            </w:r>
          </w:p>
        </w:tc>
      </w:tr>
      <w:tr w14:paraId="4D2D6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48" w:hRule="atLeast"/>
        </w:trPr>
        <w:tc>
          <w:tcPr>
            <w:tcW w:w="17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EEB355">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安全资源</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CFB863">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7</w:t>
            </w:r>
          </w:p>
        </w:tc>
        <w:tc>
          <w:tcPr>
            <w:tcW w:w="59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735121">
            <w:pPr>
              <w:keepNext w:val="0"/>
              <w:keepLines w:val="0"/>
              <w:widowControl/>
              <w:suppressLineNumbers w:val="0"/>
              <w:jc w:val="left"/>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为平台提供网络攻击防护、服务器安全加固、网页防篡改保护、数据加密传输和安全运行监控。</w:t>
            </w:r>
          </w:p>
        </w:tc>
      </w:tr>
      <w:tr w14:paraId="66747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48" w:hRule="atLeast"/>
        </w:trPr>
        <w:tc>
          <w:tcPr>
            <w:tcW w:w="17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AC15D">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直播及回放资源</w:t>
            </w:r>
          </w:p>
        </w:tc>
        <w:tc>
          <w:tcPr>
            <w:tcW w:w="1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6C79E6">
            <w:pPr>
              <w:keepNext w:val="0"/>
              <w:keepLines w:val="0"/>
              <w:widowControl/>
              <w:suppressLineNumbers w:val="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9</w:t>
            </w:r>
          </w:p>
        </w:tc>
        <w:tc>
          <w:tcPr>
            <w:tcW w:w="59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8F31E1">
            <w:pPr>
              <w:keepNext w:val="0"/>
              <w:keepLines w:val="0"/>
              <w:widowControl/>
              <w:suppressLineNumbers w:val="0"/>
              <w:jc w:val="left"/>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保障中心全年重大活动直播、主题报道直播和便民服务直播的推流、转码、多机位切换和实时互动，以及各平台全国用户的CDN加速访问。</w:t>
            </w:r>
          </w:p>
        </w:tc>
      </w:tr>
      <w:tr w14:paraId="69708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9" w:hRule="atLeast"/>
        </w:trPr>
        <w:tc>
          <w:tcPr>
            <w:tcW w:w="17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981F2">
            <w:pPr>
              <w:keepNext w:val="0"/>
              <w:keepLines w:val="0"/>
              <w:widowControl/>
              <w:suppressLineNumbers w:val="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合计</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6BF3AE">
            <w:pPr>
              <w:keepNext w:val="0"/>
              <w:keepLines w:val="0"/>
              <w:widowControl/>
              <w:suppressLineNumbers w:val="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60</w:t>
            </w:r>
          </w:p>
        </w:tc>
        <w:tc>
          <w:tcPr>
            <w:tcW w:w="59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0221D8">
            <w:pPr>
              <w:jc w:val="left"/>
              <w:rPr>
                <w:rFonts w:hint="eastAsia" w:ascii="仿宋" w:hAnsi="仿宋" w:eastAsia="仿宋" w:cs="仿宋"/>
                <w:i w:val="0"/>
                <w:iCs w:val="0"/>
                <w:color w:val="000000"/>
                <w:sz w:val="28"/>
                <w:szCs w:val="28"/>
                <w:u w:val="none"/>
              </w:rPr>
            </w:pPr>
          </w:p>
        </w:tc>
      </w:tr>
    </w:tbl>
    <w:p w14:paraId="4D1BFF52">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（二）资金筹措方案</w:t>
      </w:r>
    </w:p>
    <w:p w14:paraId="00906A3A">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申请专项资金：60万元（占比100%）</w:t>
      </w:r>
    </w:p>
    <w:p w14:paraId="77ACD846">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已到位资金、银行贷款及其他资金：0万元</w:t>
      </w:r>
    </w:p>
    <w:p w14:paraId="41A7F602">
      <w:pPr>
        <w:keepNext w:val="0"/>
        <w:keepLines w:val="0"/>
        <w:pageBreakBefore w:val="0"/>
        <w:widowControl w:val="0"/>
        <w:kinsoku/>
        <w:wordWrap/>
        <w:overflowPunct/>
        <w:topLinePunct w:val="0"/>
        <w:autoSpaceDE/>
        <w:autoSpaceDN/>
        <w:bidi w:val="0"/>
        <w:adjustRightInd/>
        <w:snapToGrid/>
        <w:spacing w:line="580" w:lineRule="exact"/>
        <w:ind w:firstLine="643" w:firstLineChars="200"/>
        <w:jc w:val="left"/>
        <w:textAlignment w:val="auto"/>
        <w:rPr>
          <w:rFonts w:hint="eastAsia" w:ascii="仿宋" w:hAnsi="仿宋" w:eastAsia="仿宋" w:cs="仿宋"/>
          <w:b/>
          <w:bCs/>
          <w:sz w:val="32"/>
          <w:szCs w:val="32"/>
        </w:rPr>
      </w:pPr>
      <w:r>
        <w:rPr>
          <w:rFonts w:hint="eastAsia" w:ascii="仿宋" w:hAnsi="仿宋" w:eastAsia="仿宋" w:cs="仿宋"/>
          <w:b/>
          <w:bCs/>
          <w:sz w:val="32"/>
          <w:szCs w:val="32"/>
        </w:rPr>
        <w:t>五、效益分析</w:t>
      </w:r>
    </w:p>
    <w:p w14:paraId="2D04CEED">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（一）经济效益</w:t>
      </w:r>
    </w:p>
    <w:p w14:paraId="5FF6C106">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通过统一续费，保障计算、数据库、存储、网络、安全和直播等基础资源的持续供应，避免因资源到期导致各业务系统中断，进而增加的应急响应支出。直播资源的续费可保障全年近200场次直播活动的正常开展，避免因直播中断导致的公众信任损失和二次补救成本。存储和备份资源的续费，保障历史数据不丢失，避免数据恢复的高额支出。</w:t>
      </w:r>
    </w:p>
    <w:p w14:paraId="2958A03A">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（二）社会效益</w:t>
      </w:r>
    </w:p>
    <w:p w14:paraId="25A88099">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保障中心各业务系统稳定运行，确保新闻采编、报刊出版、官网发布、广播电视直播等日常宣传工作不断档。保障中心直播活动的正常开展，确保重大活动宣传、主题报道和便民服务等直播业务持续稳定。安全资源的续费确保系统符合网络安全等级保护要求，防止网页篡改、数据泄露等信息安全事件的发生。</w:t>
      </w:r>
    </w:p>
    <w:p w14:paraId="115E90C9">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（三）可持续影响</w:t>
      </w:r>
    </w:p>
    <w:p w14:paraId="259C3AA6">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本次续费可保障中心各业务系统在未来一个服务周期内具备稳定的基础资源支撑，避免因资源断供导致业务中断和数据损失，为中心新闻生产、内容发布、直播等核心工作的连续性提供基础保障。</w:t>
      </w:r>
    </w:p>
    <w:p w14:paraId="2E1FCC4A">
      <w:pPr>
        <w:keepNext w:val="0"/>
        <w:keepLines w:val="0"/>
        <w:pageBreakBefore w:val="0"/>
        <w:widowControl w:val="0"/>
        <w:kinsoku/>
        <w:wordWrap/>
        <w:overflowPunct/>
        <w:topLinePunct w:val="0"/>
        <w:autoSpaceDE/>
        <w:autoSpaceDN/>
        <w:bidi w:val="0"/>
        <w:adjustRightInd/>
        <w:snapToGrid/>
        <w:spacing w:line="580" w:lineRule="exact"/>
        <w:ind w:firstLine="643" w:firstLineChars="200"/>
        <w:jc w:val="left"/>
        <w:textAlignment w:val="auto"/>
        <w:rPr>
          <w:rFonts w:hint="eastAsia" w:ascii="仿宋" w:hAnsi="仿宋" w:eastAsia="仿宋" w:cs="仿宋"/>
          <w:b/>
          <w:bCs/>
          <w:sz w:val="32"/>
          <w:szCs w:val="32"/>
        </w:rPr>
      </w:pPr>
      <w:r>
        <w:rPr>
          <w:rFonts w:hint="eastAsia" w:ascii="仿宋" w:hAnsi="仿宋" w:eastAsia="仿宋" w:cs="仿宋"/>
          <w:b/>
          <w:bCs/>
          <w:sz w:val="32"/>
          <w:szCs w:val="32"/>
        </w:rPr>
        <w:t>六、风险分析与应对</w:t>
      </w:r>
    </w:p>
    <w:p w14:paraId="7E2578A9">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（一）资金风险</w:t>
      </w:r>
    </w:p>
    <w:p w14:paraId="72AE6E92">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风险点：资金未能及时到位，导致在资源到期前无法完成续费，资源被释放。</w:t>
      </w:r>
    </w:p>
    <w:p w14:paraId="62F94F31">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应对措施：提前启动采购程序，与财政部门保持沟通，确保资金审批与拨付进度匹配续费时间节点。必要时与供应商协商短期过渡方案。</w:t>
      </w:r>
    </w:p>
    <w:p w14:paraId="65FCB2E7">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（二）衔接风险</w:t>
      </w:r>
    </w:p>
    <w:p w14:paraId="5EBBB2E2">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风险点：各类资源合同到期时间不完全一致，可能出现新老合同衔接空档。</w:t>
      </w:r>
    </w:p>
    <w:p w14:paraId="22BD641D">
      <w:pPr>
        <w:keepNext w:val="0"/>
        <w:keepLines w:val="0"/>
        <w:pageBreakBefore w:val="0"/>
        <w:widowControl w:val="0"/>
        <w:kinsoku/>
        <w:wordWrap/>
        <w:overflowPunct/>
        <w:topLinePunct w:val="0"/>
        <w:autoSpaceDE/>
        <w:autoSpaceDN/>
        <w:bidi w:val="0"/>
        <w:adjustRightInd/>
        <w:snapToGrid/>
        <w:spacing w:line="580" w:lineRule="exact"/>
        <w:jc w:val="left"/>
        <w:textAlignment w:val="auto"/>
        <w:rPr>
          <w:rFonts w:hint="eastAsia" w:ascii="仿宋" w:hAnsi="仿宋" w:eastAsia="仿宋" w:cs="仿宋"/>
          <w:sz w:val="32"/>
          <w:szCs w:val="32"/>
        </w:rPr>
      </w:pPr>
    </w:p>
    <w:p w14:paraId="0001F34A">
      <w:pPr>
        <w:keepNext w:val="0"/>
        <w:keepLines w:val="0"/>
        <w:pageBreakBefore w:val="0"/>
        <w:widowControl w:val="0"/>
        <w:kinsoku/>
        <w:wordWrap/>
        <w:overflowPunct/>
        <w:topLinePunct w:val="0"/>
        <w:autoSpaceDE/>
        <w:autoSpaceDN/>
        <w:bidi w:val="0"/>
        <w:adjustRightInd/>
        <w:snapToGrid/>
        <w:spacing w:line="580" w:lineRule="exact"/>
        <w:jc w:val="left"/>
        <w:textAlignment w:val="auto"/>
        <w:rPr>
          <w:rFonts w:hint="eastAsia" w:ascii="仿宋" w:hAnsi="仿宋" w:eastAsia="仿宋" w:cs="仿宋"/>
          <w:sz w:val="32"/>
          <w:szCs w:val="32"/>
        </w:rPr>
      </w:pPr>
      <w:r>
        <w:rPr>
          <w:rFonts w:hint="eastAsia" w:ascii="仿宋" w:hAnsi="仿宋" w:eastAsia="仿宋" w:cs="仿宋"/>
          <w:sz w:val="32"/>
          <w:szCs w:val="32"/>
        </w:rPr>
        <w:t>应对措施：建立合同到期预警台账，倒排采购计划，确保新合同生效不晚于旧合同到期。续费期间维持原有服务规格不变。</w:t>
      </w:r>
    </w:p>
    <w:p w14:paraId="5E7BCB19">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（三）安全风险</w:t>
      </w:r>
    </w:p>
    <w:p w14:paraId="70C1EA29">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风险点：续费过渡期间，安全防护资源到期失效，系统暴露于网络攻击下。</w:t>
      </w:r>
    </w:p>
    <w:p w14:paraId="4C5217C0">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应对措施：将WAF防火墙、主机安全、SSL证书等核心安全资源列为优先续保对象。过渡期间加强人工巡检，与服务商协商合同宽限期。</w:t>
      </w:r>
    </w:p>
    <w:p w14:paraId="4E7540C8">
      <w:pPr>
        <w:keepNext w:val="0"/>
        <w:keepLines w:val="0"/>
        <w:pageBreakBefore w:val="0"/>
        <w:widowControl w:val="0"/>
        <w:kinsoku/>
        <w:wordWrap/>
        <w:overflowPunct/>
        <w:topLinePunct w:val="0"/>
        <w:autoSpaceDE/>
        <w:autoSpaceDN/>
        <w:bidi w:val="0"/>
        <w:adjustRightInd/>
        <w:snapToGrid/>
        <w:spacing w:line="580" w:lineRule="exact"/>
        <w:ind w:firstLine="643" w:firstLineChars="200"/>
        <w:jc w:val="left"/>
        <w:textAlignment w:val="auto"/>
        <w:rPr>
          <w:rFonts w:hint="eastAsia" w:ascii="仿宋" w:hAnsi="仿宋" w:eastAsia="仿宋" w:cs="仿宋"/>
          <w:b/>
          <w:bCs/>
          <w:sz w:val="32"/>
          <w:szCs w:val="32"/>
        </w:rPr>
      </w:pPr>
      <w:r>
        <w:rPr>
          <w:rFonts w:hint="eastAsia" w:ascii="仿宋" w:hAnsi="仿宋" w:eastAsia="仿宋" w:cs="仿宋"/>
          <w:b/>
          <w:bCs/>
          <w:sz w:val="32"/>
          <w:szCs w:val="32"/>
        </w:rPr>
        <w:t>七、结论</w:t>
      </w:r>
    </w:p>
    <w:p w14:paraId="47796077">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rPr>
      </w:pPr>
      <w:r>
        <w:rPr>
          <w:rFonts w:hint="eastAsia" w:ascii="仿宋" w:hAnsi="仿宋" w:eastAsia="仿宋" w:cs="仿宋"/>
          <w:sz w:val="32"/>
          <w:szCs w:val="32"/>
        </w:rPr>
        <w:t>本项目是保障中心各业务系统持续运行的基础性续费项目，主要对支撑市融技术平台、中心官网、电子报平台、直播平台、数据中心（媒资库）、可视化大屏、融媒AI平台、用户中心等系统的计算资源、数据库资源、存储资源、网络资源、安全资源和直播资源进行统一续费，总预算60万元。项目需求明确，预算合理，风险可控，是维持中心日常采编、发布、直播等业务不中断的刚性需求。建议通过专项资金审批，确保续费采购及时完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1" w:fontKey="{A5AFC208-05F3-4ABF-8D62-D153537B9E33}"/>
  </w:font>
  <w:font w:name="仿宋">
    <w:panose1 w:val="02010609060101010101"/>
    <w:charset w:val="86"/>
    <w:family w:val="auto"/>
    <w:pitch w:val="default"/>
    <w:sig w:usb0="800002BF" w:usb1="38CF7CFA" w:usb2="00000016" w:usb3="00000000" w:csb0="00040001" w:csb1="00000000"/>
    <w:embedRegular r:id="rId2" w:fontKey="{7BC0524C-A600-4F90-8229-5D268096B44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826D9"/>
    <w:rsid w:val="036A7762"/>
    <w:rsid w:val="03E70DB3"/>
    <w:rsid w:val="0D49663A"/>
    <w:rsid w:val="13102630"/>
    <w:rsid w:val="309D2676"/>
    <w:rsid w:val="3C355E58"/>
    <w:rsid w:val="47864F63"/>
    <w:rsid w:val="5AB67D0C"/>
    <w:rsid w:val="607466A0"/>
    <w:rsid w:val="615D5386"/>
    <w:rsid w:val="709A0BC4"/>
    <w:rsid w:val="798675D7"/>
    <w:rsid w:val="7A811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3557</Words>
  <Characters>3630</Characters>
  <Lines>0</Lines>
  <Paragraphs>0</Paragraphs>
  <TotalTime>11</TotalTime>
  <ScaleCrop>false</ScaleCrop>
  <LinksUpToDate>false</LinksUpToDate>
  <CharactersWithSpaces>3633</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2026-05-09T09:13:00Z</dcterms:created>
  <dc:creator>Administrator</dc:creator>
  <cp:lastModifiedBy>leo</cp:lastModifiedBy>
  <dcterms:modified xsi:type="dcterms:W3CDTF">2026-05-09T10:00:16Z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eyJoZGlkIjoiMTIyYmVlOGFjYmVhOGZkZDM4NDBhNGM3ODViMjdjZDIiLCJ1c2VySWQiOiI1Njg3ODIwNzkifQ==</vt:lpwstr>
  </property>
  <property fmtid="{D5CDD505-2E9C-101B-9397-08002B2CF9AE}" pid="4" name="ICV">
    <vt:lpwstr>09332D41573B4F0983DFC3CDE6383D00_12</vt:lpwstr>
  </property>
</Properties>
</file>