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4D349">
      <w:pPr>
        <w:jc w:val="center"/>
        <w:rPr>
          <w:rFonts w:hint="eastAsia" w:ascii="方正公文小标宋" w:hAnsi="方正公文小标宋" w:eastAsia="方正公文小标宋" w:cs="方正公文小标宋"/>
          <w:sz w:val="44"/>
          <w:szCs w:val="44"/>
          <w:lang w:val="en-US" w:eastAsia="zh-CN"/>
        </w:rPr>
      </w:pPr>
      <w:r>
        <w:rPr>
          <w:rFonts w:hint="eastAsia" w:ascii="方正公文小标宋" w:hAnsi="方正公文小标宋" w:eastAsia="方正公文小标宋" w:cs="方正公文小标宋"/>
          <w:sz w:val="44"/>
          <w:szCs w:val="44"/>
          <w:lang w:val="en-US" w:eastAsia="zh-CN"/>
        </w:rPr>
        <w:t>中心数据及媒资底座资源续费项目</w:t>
      </w:r>
    </w:p>
    <w:p w14:paraId="63FC1680">
      <w:pPr>
        <w:jc w:val="center"/>
        <w:rPr>
          <w:rFonts w:hint="eastAsia" w:ascii="方正公文小标宋" w:hAnsi="方正公文小标宋" w:eastAsia="方正公文小标宋" w:cs="方正公文小标宋"/>
          <w:sz w:val="44"/>
          <w:szCs w:val="44"/>
          <w:lang w:val="en-US" w:eastAsia="zh-CN"/>
        </w:rPr>
      </w:pPr>
      <w:r>
        <w:rPr>
          <w:rFonts w:hint="eastAsia" w:ascii="方正公文小标宋" w:hAnsi="方正公文小标宋" w:eastAsia="方正公文小标宋" w:cs="方正公文小标宋"/>
          <w:sz w:val="44"/>
          <w:szCs w:val="44"/>
          <w:lang w:val="en-US" w:eastAsia="zh-CN"/>
        </w:rPr>
        <w:t>可行性研究报告</w:t>
      </w:r>
    </w:p>
    <w:p w14:paraId="2B6681F1">
      <w:pPr>
        <w:jc w:val="center"/>
        <w:rPr>
          <w:rFonts w:hint="eastAsia" w:ascii="方正公文小标宋" w:hAnsi="方正公文小标宋" w:eastAsia="方正公文小标宋" w:cs="方正公文小标宋"/>
          <w:sz w:val="44"/>
          <w:szCs w:val="44"/>
          <w:lang w:val="en-US" w:eastAsia="zh-CN"/>
        </w:rPr>
      </w:pPr>
    </w:p>
    <w:p w14:paraId="257638DB">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一、项目概述</w:t>
      </w:r>
    </w:p>
    <w:p w14:paraId="4236193D">
      <w:pPr>
        <w:ind w:firstLine="640" w:firstLineChars="200"/>
        <w:rPr>
          <w:rFonts w:hint="eastAsia" w:ascii="仿宋" w:hAnsi="仿宋" w:eastAsia="仿宋" w:cs="仿宋"/>
          <w:sz w:val="32"/>
          <w:szCs w:val="32"/>
        </w:rPr>
      </w:pPr>
      <w:r>
        <w:rPr>
          <w:rFonts w:hint="eastAsia" w:ascii="仿宋" w:hAnsi="仿宋" w:eastAsia="仿宋" w:cs="仿宋"/>
          <w:sz w:val="32"/>
          <w:szCs w:val="32"/>
        </w:rPr>
        <w:t>（一）项目基本信息</w:t>
      </w:r>
    </w:p>
    <w:p w14:paraId="13DF0BB5">
      <w:pPr>
        <w:ind w:firstLine="640" w:firstLineChars="200"/>
        <w:rPr>
          <w:rFonts w:hint="eastAsia" w:ascii="仿宋" w:hAnsi="仿宋" w:eastAsia="仿宋" w:cs="仿宋"/>
          <w:sz w:val="32"/>
          <w:szCs w:val="32"/>
        </w:rPr>
      </w:pPr>
      <w:r>
        <w:rPr>
          <w:rFonts w:hint="eastAsia" w:ascii="仿宋" w:hAnsi="仿宋" w:eastAsia="仿宋" w:cs="仿宋"/>
          <w:sz w:val="32"/>
          <w:szCs w:val="32"/>
        </w:rPr>
        <w:t>项目名称：中心数据及媒资底座资源续费项目</w:t>
      </w:r>
    </w:p>
    <w:p w14:paraId="55727486">
      <w:pPr>
        <w:ind w:firstLine="640" w:firstLineChars="200"/>
        <w:rPr>
          <w:rFonts w:hint="eastAsia" w:ascii="仿宋" w:hAnsi="仿宋" w:eastAsia="仿宋" w:cs="仿宋"/>
          <w:sz w:val="32"/>
          <w:szCs w:val="32"/>
        </w:rPr>
      </w:pPr>
      <w:r>
        <w:rPr>
          <w:rFonts w:hint="eastAsia" w:ascii="仿宋" w:hAnsi="仿宋" w:eastAsia="仿宋" w:cs="仿宋"/>
          <w:sz w:val="32"/>
          <w:szCs w:val="32"/>
        </w:rPr>
        <w:t>申报单位：数字媒体研发部</w:t>
      </w:r>
    </w:p>
    <w:p w14:paraId="28B761E0">
      <w:pPr>
        <w:ind w:firstLine="640" w:firstLineChars="200"/>
        <w:rPr>
          <w:rFonts w:hint="eastAsia" w:ascii="仿宋" w:hAnsi="仿宋" w:eastAsia="仿宋" w:cs="仿宋"/>
          <w:sz w:val="32"/>
          <w:szCs w:val="32"/>
        </w:rPr>
      </w:pPr>
      <w:r>
        <w:rPr>
          <w:rFonts w:hint="eastAsia" w:ascii="仿宋" w:hAnsi="仿宋" w:eastAsia="仿宋" w:cs="仿宋"/>
          <w:sz w:val="32"/>
          <w:szCs w:val="32"/>
        </w:rPr>
        <w:t>单位地址：昆明市丹霞路新闻中心</w:t>
      </w:r>
    </w:p>
    <w:p w14:paraId="4FA4DB4B">
      <w:pPr>
        <w:ind w:firstLine="640" w:firstLineChars="200"/>
        <w:rPr>
          <w:rFonts w:hint="eastAsia" w:ascii="仿宋" w:hAnsi="仿宋" w:eastAsia="仿宋" w:cs="仿宋"/>
          <w:sz w:val="32"/>
          <w:szCs w:val="32"/>
        </w:rPr>
      </w:pPr>
      <w:r>
        <w:rPr>
          <w:rFonts w:hint="eastAsia" w:ascii="仿宋" w:hAnsi="仿宋" w:eastAsia="仿宋" w:cs="仿宋"/>
          <w:sz w:val="32"/>
          <w:szCs w:val="32"/>
        </w:rPr>
        <w:t>项目起止年限：2026年</w:t>
      </w:r>
      <w:r>
        <w:rPr>
          <w:rFonts w:hint="eastAsia" w:ascii="仿宋" w:hAnsi="仿宋" w:eastAsia="仿宋" w:cs="仿宋"/>
          <w:sz w:val="32"/>
          <w:szCs w:val="32"/>
          <w:lang w:val="en-US" w:eastAsia="zh-CN"/>
        </w:rPr>
        <w:t>5</w:t>
      </w:r>
      <w:r>
        <w:rPr>
          <w:rFonts w:hint="eastAsia" w:ascii="仿宋" w:hAnsi="仿宋" w:eastAsia="仿宋" w:cs="仿宋"/>
          <w:sz w:val="32"/>
          <w:szCs w:val="32"/>
        </w:rPr>
        <w:t>月 - 202</w:t>
      </w:r>
      <w:r>
        <w:rPr>
          <w:rFonts w:hint="eastAsia" w:ascii="仿宋" w:hAnsi="仿宋" w:eastAsia="仿宋" w:cs="仿宋"/>
          <w:sz w:val="32"/>
          <w:szCs w:val="32"/>
          <w:lang w:val="en-US" w:eastAsia="zh-CN"/>
        </w:rPr>
        <w:t>7</w:t>
      </w:r>
      <w:r>
        <w:rPr>
          <w:rFonts w:hint="eastAsia" w:ascii="仿宋" w:hAnsi="仿宋" w:eastAsia="仿宋" w:cs="仿宋"/>
          <w:sz w:val="32"/>
          <w:szCs w:val="32"/>
        </w:rPr>
        <w:t>年</w:t>
      </w:r>
      <w:r>
        <w:rPr>
          <w:rFonts w:hint="eastAsia" w:ascii="仿宋" w:hAnsi="仿宋" w:eastAsia="仿宋" w:cs="仿宋"/>
          <w:sz w:val="32"/>
          <w:szCs w:val="32"/>
          <w:lang w:val="en-US" w:eastAsia="zh-CN"/>
        </w:rPr>
        <w:t>5</w:t>
      </w:r>
      <w:r>
        <w:rPr>
          <w:rFonts w:hint="eastAsia" w:ascii="仿宋" w:hAnsi="仿宋" w:eastAsia="仿宋" w:cs="仿宋"/>
          <w:sz w:val="32"/>
          <w:szCs w:val="32"/>
        </w:rPr>
        <w:t>月</w:t>
      </w:r>
    </w:p>
    <w:p w14:paraId="330DE8E9">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rPr>
        <w:t>项目负责人：</w:t>
      </w:r>
      <w:r>
        <w:rPr>
          <w:rFonts w:hint="eastAsia" w:ascii="仿宋" w:hAnsi="仿宋" w:eastAsia="仿宋" w:cs="仿宋"/>
          <w:sz w:val="32"/>
          <w:szCs w:val="32"/>
          <w:lang w:val="en-US" w:eastAsia="zh-CN"/>
        </w:rPr>
        <w:t>刘少文（电话：18213981378）</w:t>
      </w:r>
    </w:p>
    <w:p w14:paraId="23DB580B">
      <w:pPr>
        <w:ind w:firstLine="640" w:firstLineChars="200"/>
        <w:rPr>
          <w:rFonts w:hint="eastAsia" w:ascii="仿宋" w:hAnsi="仿宋" w:eastAsia="仿宋" w:cs="仿宋"/>
          <w:sz w:val="32"/>
          <w:szCs w:val="32"/>
        </w:rPr>
      </w:pPr>
      <w:r>
        <w:rPr>
          <w:rFonts w:hint="eastAsia" w:ascii="仿宋" w:hAnsi="仿宋" w:eastAsia="仿宋" w:cs="仿宋"/>
          <w:sz w:val="32"/>
          <w:szCs w:val="32"/>
        </w:rPr>
        <w:t>申请资金：</w:t>
      </w:r>
      <w:r>
        <w:rPr>
          <w:rFonts w:hint="eastAsia" w:ascii="仿宋" w:hAnsi="仿宋" w:eastAsia="仿宋" w:cs="仿宋"/>
          <w:sz w:val="32"/>
          <w:szCs w:val="32"/>
          <w:lang w:val="en-US" w:eastAsia="zh-CN"/>
        </w:rPr>
        <w:t>48</w:t>
      </w:r>
      <w:r>
        <w:rPr>
          <w:rFonts w:hint="eastAsia" w:ascii="仿宋" w:hAnsi="仿宋" w:eastAsia="仿宋" w:cs="仿宋"/>
          <w:sz w:val="32"/>
          <w:szCs w:val="32"/>
        </w:rPr>
        <w:t>万元</w:t>
      </w:r>
    </w:p>
    <w:p w14:paraId="01C66DFB">
      <w:pPr>
        <w:ind w:firstLine="640" w:firstLineChars="200"/>
        <w:rPr>
          <w:rFonts w:hint="eastAsia" w:ascii="仿宋" w:hAnsi="仿宋" w:eastAsia="仿宋" w:cs="仿宋"/>
          <w:sz w:val="32"/>
          <w:szCs w:val="32"/>
        </w:rPr>
      </w:pPr>
      <w:r>
        <w:rPr>
          <w:rFonts w:hint="eastAsia" w:ascii="仿宋" w:hAnsi="仿宋" w:eastAsia="仿宋" w:cs="仿宋"/>
          <w:sz w:val="32"/>
          <w:szCs w:val="32"/>
        </w:rPr>
        <w:t>（二）项目背景与必要性</w:t>
      </w:r>
    </w:p>
    <w:p w14:paraId="09B1999D">
      <w:pPr>
        <w:ind w:firstLine="640" w:firstLineChars="200"/>
        <w:rPr>
          <w:rFonts w:hint="eastAsia" w:ascii="仿宋" w:hAnsi="仿宋" w:eastAsia="仿宋" w:cs="仿宋"/>
          <w:sz w:val="32"/>
          <w:szCs w:val="32"/>
        </w:rPr>
      </w:pPr>
      <w:r>
        <w:rPr>
          <w:rFonts w:hint="eastAsia" w:ascii="仿宋" w:hAnsi="仿宋" w:eastAsia="仿宋" w:cs="仿宋"/>
          <w:sz w:val="32"/>
          <w:szCs w:val="32"/>
        </w:rPr>
        <w:t>昆明市融媒体中心目前已建成并投入运行的数据及媒资底座系统，承担着中心各类业务数据与媒资内容的采集、分析、存储</w:t>
      </w:r>
      <w:r>
        <w:rPr>
          <w:rFonts w:hint="eastAsia" w:ascii="仿宋" w:hAnsi="仿宋" w:eastAsia="仿宋" w:cs="仿宋"/>
          <w:sz w:val="32"/>
          <w:szCs w:val="32"/>
          <w:lang w:val="en-US" w:eastAsia="zh-CN"/>
        </w:rPr>
        <w:t>等</w:t>
      </w:r>
      <w:r>
        <w:rPr>
          <w:rFonts w:hint="eastAsia" w:ascii="仿宋" w:hAnsi="仿宋" w:eastAsia="仿宋" w:cs="仿宋"/>
          <w:sz w:val="32"/>
          <w:szCs w:val="32"/>
        </w:rPr>
        <w:t>功能。</w:t>
      </w:r>
      <w:r>
        <w:rPr>
          <w:rFonts w:hint="eastAsia" w:ascii="仿宋" w:hAnsi="仿宋" w:eastAsia="仿宋" w:cs="仿宋"/>
          <w:sz w:val="32"/>
          <w:szCs w:val="32"/>
          <w:lang w:val="en-US" w:eastAsia="zh-CN"/>
        </w:rPr>
        <w:t>在</w:t>
      </w:r>
      <w:r>
        <w:rPr>
          <w:rFonts w:hint="eastAsia" w:ascii="仿宋" w:hAnsi="仿宋" w:eastAsia="仿宋" w:cs="仿宋"/>
          <w:sz w:val="32"/>
          <w:szCs w:val="32"/>
          <w:lang w:eastAsia="zh-CN"/>
        </w:rPr>
        <w:t>支撑着历史素材检索、稿件复用、节目制作等内容生产环节的调用需求</w:t>
      </w:r>
      <w:r>
        <w:rPr>
          <w:rFonts w:hint="eastAsia" w:ascii="仿宋" w:hAnsi="仿宋" w:eastAsia="仿宋" w:cs="仿宋"/>
          <w:sz w:val="32"/>
          <w:szCs w:val="32"/>
          <w:lang w:val="en-US" w:eastAsia="zh-CN"/>
        </w:rPr>
        <w:t>的同时，还</w:t>
      </w:r>
      <w:r>
        <w:rPr>
          <w:rFonts w:hint="eastAsia" w:ascii="仿宋" w:hAnsi="仿宋" w:eastAsia="仿宋" w:cs="仿宋"/>
          <w:sz w:val="32"/>
          <w:szCs w:val="32"/>
        </w:rPr>
        <w:t>支撑可视化大屏的传播数据展示、新闻质量考核的稿件评分、活动传播效果分析统计等核心业务</w:t>
      </w:r>
      <w:r>
        <w:rPr>
          <w:rFonts w:hint="eastAsia" w:ascii="仿宋" w:hAnsi="仿宋" w:eastAsia="仿宋" w:cs="仿宋"/>
          <w:sz w:val="32"/>
          <w:szCs w:val="32"/>
          <w:lang w:eastAsia="zh-CN"/>
        </w:rPr>
        <w:t>，是中心量化评估传播力、优化采编策略的决策依据。</w:t>
      </w:r>
    </w:p>
    <w:p w14:paraId="0ED4C902">
      <w:pPr>
        <w:ind w:firstLine="640" w:firstLineChars="200"/>
        <w:rPr>
          <w:rFonts w:hint="eastAsia" w:ascii="仿宋" w:hAnsi="仿宋" w:eastAsia="仿宋" w:cs="仿宋"/>
          <w:sz w:val="32"/>
          <w:szCs w:val="32"/>
        </w:rPr>
      </w:pPr>
      <w:r>
        <w:rPr>
          <w:rFonts w:hint="eastAsia" w:ascii="仿宋" w:hAnsi="仿宋" w:eastAsia="仿宋" w:cs="仿宋"/>
          <w:sz w:val="32"/>
          <w:szCs w:val="32"/>
        </w:rPr>
        <w:t>数据及媒资底座</w:t>
      </w:r>
      <w:r>
        <w:rPr>
          <w:rFonts w:hint="eastAsia" w:ascii="仿宋" w:hAnsi="仿宋" w:eastAsia="仿宋" w:cs="仿宋"/>
          <w:sz w:val="32"/>
          <w:szCs w:val="32"/>
          <w:lang w:val="en-US" w:eastAsia="zh-CN"/>
        </w:rPr>
        <w:t>所需资源需</w:t>
      </w:r>
      <w:r>
        <w:rPr>
          <w:rFonts w:hint="eastAsia" w:ascii="仿宋" w:hAnsi="仿宋" w:eastAsia="仿宋" w:cs="仿宋"/>
          <w:sz w:val="32"/>
          <w:szCs w:val="32"/>
        </w:rPr>
        <w:t>向服务商按年续费，部门已在2026年公共支撑预算中申报该项预算，多次沟通后仍被削减，目前无任何费用支撑项目运转。</w:t>
      </w:r>
    </w:p>
    <w:p w14:paraId="7CC103D8">
      <w:pPr>
        <w:ind w:firstLine="640" w:firstLineChars="200"/>
        <w:rPr>
          <w:rFonts w:hint="eastAsia" w:ascii="仿宋" w:hAnsi="仿宋" w:eastAsia="仿宋" w:cs="仿宋"/>
          <w:sz w:val="32"/>
          <w:szCs w:val="32"/>
        </w:rPr>
      </w:pPr>
      <w:r>
        <w:rPr>
          <w:rFonts w:hint="eastAsia" w:ascii="仿宋" w:hAnsi="仿宋" w:eastAsia="仿宋" w:cs="仿宋"/>
          <w:sz w:val="32"/>
          <w:szCs w:val="32"/>
        </w:rPr>
        <w:t>若不能及时续费，数据底座将停止运行，各平台传播数据无法采集，传播大屏数据停更，新闻考核失去数据来源，传播效果无法量化分析；媒资底座将停止运行，历史稿件、图片和音视频素材无法检索调用，新</w:t>
      </w:r>
      <w:r>
        <w:rPr>
          <w:rFonts w:hint="eastAsia" w:ascii="仿宋" w:hAnsi="仿宋" w:eastAsia="仿宋" w:cs="仿宋"/>
          <w:sz w:val="32"/>
          <w:szCs w:val="32"/>
          <w:lang w:val="en-US" w:eastAsia="zh-CN"/>
        </w:rPr>
        <w:t>媒资</w:t>
      </w:r>
      <w:r>
        <w:rPr>
          <w:rFonts w:hint="eastAsia" w:ascii="仿宋" w:hAnsi="仿宋" w:eastAsia="仿宋" w:cs="仿宋"/>
          <w:sz w:val="32"/>
          <w:szCs w:val="32"/>
        </w:rPr>
        <w:t>素材</w:t>
      </w:r>
      <w:r>
        <w:rPr>
          <w:rFonts w:hint="eastAsia" w:ascii="仿宋" w:hAnsi="仿宋" w:eastAsia="仿宋" w:cs="仿宋"/>
          <w:sz w:val="32"/>
          <w:szCs w:val="32"/>
          <w:lang w:val="en-US" w:eastAsia="zh-CN"/>
        </w:rPr>
        <w:t>无法入库</w:t>
      </w:r>
      <w:r>
        <w:rPr>
          <w:rFonts w:hint="eastAsia" w:ascii="仿宋" w:hAnsi="仿宋" w:eastAsia="仿宋" w:cs="仿宋"/>
          <w:sz w:val="32"/>
          <w:szCs w:val="32"/>
        </w:rPr>
        <w:t>，内容复用效率大幅下降。上述情况将直接影响中心对内容传播效果的评估能力和对内容资产的管理使用效率。</w:t>
      </w:r>
    </w:p>
    <w:p w14:paraId="3901CC76">
      <w:pPr>
        <w:ind w:firstLine="640" w:firstLineChars="200"/>
        <w:rPr>
          <w:rFonts w:hint="eastAsia" w:ascii="仿宋" w:hAnsi="仿宋" w:eastAsia="仿宋" w:cs="仿宋"/>
          <w:sz w:val="32"/>
          <w:szCs w:val="32"/>
        </w:rPr>
      </w:pPr>
      <w:r>
        <w:rPr>
          <w:rFonts w:hint="eastAsia" w:ascii="仿宋" w:hAnsi="仿宋" w:eastAsia="仿宋" w:cs="仿宋"/>
          <w:sz w:val="32"/>
          <w:szCs w:val="32"/>
        </w:rPr>
        <w:t>本项目非新建项目，是为保障数据底座和媒资底座的续费，维持传播数据管理和内容素材管理的正常运行，确保数据和媒资服务不中断的刚性需求。</w:t>
      </w:r>
    </w:p>
    <w:p w14:paraId="3B99F8B4">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二、资源现状与续费内容</w:t>
      </w:r>
    </w:p>
    <w:p w14:paraId="1FC6FC94">
      <w:pPr>
        <w:ind w:firstLine="640" w:firstLineChars="200"/>
        <w:rPr>
          <w:rFonts w:hint="eastAsia" w:ascii="仿宋" w:hAnsi="仿宋" w:eastAsia="仿宋" w:cs="仿宋"/>
          <w:sz w:val="32"/>
          <w:szCs w:val="32"/>
        </w:rPr>
      </w:pPr>
      <w:r>
        <w:rPr>
          <w:rFonts w:hint="eastAsia" w:ascii="仿宋" w:hAnsi="仿宋" w:eastAsia="仿宋" w:cs="仿宋"/>
          <w:sz w:val="32"/>
          <w:szCs w:val="32"/>
        </w:rPr>
        <w:t>（一）总体说明</w:t>
      </w:r>
    </w:p>
    <w:p w14:paraId="651EC51E">
      <w:pPr>
        <w:ind w:firstLine="640" w:firstLineChars="200"/>
        <w:rPr>
          <w:rFonts w:hint="eastAsia" w:ascii="仿宋" w:hAnsi="仿宋" w:eastAsia="仿宋" w:cs="仿宋"/>
          <w:sz w:val="32"/>
          <w:szCs w:val="32"/>
        </w:rPr>
      </w:pPr>
      <w:r>
        <w:rPr>
          <w:rFonts w:hint="eastAsia" w:ascii="仿宋" w:hAnsi="仿宋" w:eastAsia="仿宋" w:cs="仿宋"/>
          <w:sz w:val="32"/>
          <w:szCs w:val="32"/>
        </w:rPr>
        <w:t>本项目续费资源为数据及媒资底座，以续费方式向服务商进行充值续费。数据底座管理各平台发布内容的传播数据，媒资底座管理稿件文本、图片、音视频等基础素材，两套体系分别支撑中心的传播效果分析和内容资产管理。</w:t>
      </w:r>
    </w:p>
    <w:p w14:paraId="4185A368">
      <w:pPr>
        <w:ind w:firstLine="640" w:firstLineChars="200"/>
        <w:rPr>
          <w:rFonts w:hint="default" w:ascii="仿宋" w:hAnsi="仿宋" w:eastAsia="仿宋" w:cs="仿宋"/>
          <w:sz w:val="32"/>
          <w:szCs w:val="32"/>
          <w:lang w:val="en-US"/>
        </w:rPr>
      </w:pPr>
      <w:r>
        <w:rPr>
          <w:rFonts w:hint="eastAsia" w:ascii="仿宋" w:hAnsi="仿宋" w:eastAsia="仿宋" w:cs="仿宋"/>
          <w:sz w:val="32"/>
          <w:szCs w:val="32"/>
        </w:rPr>
        <w:t>（二）</w:t>
      </w:r>
      <w:r>
        <w:rPr>
          <w:rFonts w:hint="eastAsia" w:ascii="仿宋" w:hAnsi="仿宋" w:eastAsia="仿宋" w:cs="仿宋"/>
          <w:sz w:val="32"/>
          <w:szCs w:val="32"/>
          <w:lang w:val="en-US" w:eastAsia="zh-CN"/>
        </w:rPr>
        <w:t>数据及媒资底座所需资源</w:t>
      </w:r>
    </w:p>
    <w:p w14:paraId="32CF1C59">
      <w:pPr>
        <w:ind w:firstLine="640" w:firstLineChars="200"/>
        <w:rPr>
          <w:rFonts w:hint="eastAsia" w:ascii="仿宋" w:hAnsi="仿宋" w:eastAsia="仿宋" w:cs="仿宋"/>
          <w:sz w:val="32"/>
          <w:szCs w:val="32"/>
        </w:rPr>
      </w:pPr>
      <w:r>
        <w:rPr>
          <w:rFonts w:hint="eastAsia" w:ascii="仿宋" w:hAnsi="仿宋" w:eastAsia="仿宋" w:cs="仿宋"/>
          <w:sz w:val="32"/>
          <w:szCs w:val="32"/>
        </w:rPr>
        <w:t>数据及媒资底座资源面向中心的传播数据管理和</w:t>
      </w:r>
      <w:r>
        <w:rPr>
          <w:rFonts w:hint="eastAsia" w:ascii="仿宋" w:hAnsi="仿宋" w:eastAsia="仿宋" w:cs="仿宋"/>
          <w:sz w:val="32"/>
          <w:szCs w:val="32"/>
          <w:lang w:val="en-US" w:eastAsia="zh-CN"/>
        </w:rPr>
        <w:t>媒资</w:t>
      </w:r>
      <w:r>
        <w:rPr>
          <w:rFonts w:hint="eastAsia" w:ascii="仿宋" w:hAnsi="仿宋" w:eastAsia="仿宋" w:cs="仿宋"/>
          <w:sz w:val="32"/>
          <w:szCs w:val="32"/>
        </w:rPr>
        <w:t>素材管理需求，覆盖数据与媒资的采集、处理、存储和</w:t>
      </w:r>
      <w:r>
        <w:rPr>
          <w:rFonts w:hint="eastAsia" w:ascii="仿宋" w:hAnsi="仿宋" w:eastAsia="仿宋" w:cs="仿宋"/>
          <w:sz w:val="32"/>
          <w:szCs w:val="32"/>
          <w:lang w:val="en-US" w:eastAsia="zh-CN"/>
        </w:rPr>
        <w:t>输出</w:t>
      </w:r>
      <w:r>
        <w:rPr>
          <w:rFonts w:hint="eastAsia" w:ascii="仿宋" w:hAnsi="仿宋" w:eastAsia="仿宋" w:cs="仿宋"/>
          <w:sz w:val="32"/>
          <w:szCs w:val="32"/>
        </w:rPr>
        <w:t>环节。</w:t>
      </w:r>
    </w:p>
    <w:p w14:paraId="0508F5B7">
      <w:pPr>
        <w:ind w:firstLine="640" w:firstLineChars="200"/>
        <w:rPr>
          <w:rFonts w:hint="eastAsia" w:ascii="仿宋" w:hAnsi="仿宋" w:eastAsia="仿宋" w:cs="仿宋"/>
          <w:sz w:val="32"/>
          <w:szCs w:val="32"/>
        </w:rPr>
      </w:pPr>
      <w:r>
        <w:rPr>
          <w:rFonts w:hint="eastAsia" w:ascii="仿宋" w:hAnsi="仿宋" w:eastAsia="仿宋" w:cs="仿宋"/>
          <w:sz w:val="32"/>
          <w:szCs w:val="32"/>
        </w:rPr>
        <w:t>数据资源服务持续采集各新媒体平台和网站的内容传播数据，包括阅读量、点赞数、评论数、转发量、收藏量等指标</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同时</w:t>
      </w:r>
      <w:r>
        <w:rPr>
          <w:rFonts w:hint="eastAsia" w:ascii="仿宋" w:hAnsi="仿宋" w:eastAsia="仿宋" w:cs="仿宋"/>
          <w:sz w:val="32"/>
          <w:szCs w:val="32"/>
        </w:rPr>
        <w:t>持续接收各业务系统上传的稿件文本、图片和音视频</w:t>
      </w:r>
      <w:r>
        <w:rPr>
          <w:rFonts w:hint="eastAsia" w:ascii="仿宋" w:hAnsi="仿宋" w:eastAsia="仿宋" w:cs="仿宋"/>
          <w:sz w:val="32"/>
          <w:szCs w:val="32"/>
          <w:lang w:val="en-US" w:eastAsia="zh-CN"/>
        </w:rPr>
        <w:t>媒资</w:t>
      </w:r>
      <w:r>
        <w:rPr>
          <w:rFonts w:hint="eastAsia" w:ascii="仿宋" w:hAnsi="仿宋" w:eastAsia="仿宋" w:cs="仿宋"/>
          <w:sz w:val="32"/>
          <w:szCs w:val="32"/>
        </w:rPr>
        <w:t>素材，是中心</w:t>
      </w:r>
      <w:r>
        <w:rPr>
          <w:rFonts w:hint="eastAsia" w:ascii="仿宋" w:hAnsi="仿宋" w:eastAsia="仿宋" w:cs="仿宋"/>
          <w:sz w:val="32"/>
          <w:szCs w:val="32"/>
          <w:lang w:val="en-US" w:eastAsia="zh-CN"/>
        </w:rPr>
        <w:t>媒资素材</w:t>
      </w:r>
      <w:r>
        <w:rPr>
          <w:rFonts w:hint="eastAsia" w:ascii="仿宋" w:hAnsi="仿宋" w:eastAsia="仿宋" w:cs="仿宋"/>
          <w:sz w:val="32"/>
          <w:szCs w:val="32"/>
        </w:rPr>
        <w:t>资产的</w:t>
      </w:r>
      <w:r>
        <w:rPr>
          <w:rFonts w:hint="eastAsia" w:ascii="仿宋" w:hAnsi="仿宋" w:eastAsia="仿宋" w:cs="仿宋"/>
          <w:sz w:val="32"/>
          <w:szCs w:val="32"/>
          <w:lang w:val="en-US" w:eastAsia="zh-CN"/>
        </w:rPr>
        <w:t>基础采集平台</w:t>
      </w:r>
      <w:r>
        <w:rPr>
          <w:rFonts w:hint="eastAsia" w:ascii="仿宋" w:hAnsi="仿宋" w:eastAsia="仿宋" w:cs="仿宋"/>
          <w:sz w:val="32"/>
          <w:szCs w:val="32"/>
        </w:rPr>
        <w:t>。</w:t>
      </w:r>
      <w:r>
        <w:rPr>
          <w:rFonts w:hint="eastAsia" w:ascii="仿宋" w:hAnsi="仿宋" w:eastAsia="仿宋" w:cs="仿宋"/>
          <w:sz w:val="32"/>
          <w:szCs w:val="32"/>
          <w:lang w:val="en-US" w:eastAsia="zh-CN"/>
        </w:rPr>
        <w:t>数据及媒资底座</w:t>
      </w:r>
      <w:r>
        <w:rPr>
          <w:rFonts w:hint="eastAsia" w:ascii="仿宋" w:hAnsi="仿宋" w:eastAsia="仿宋" w:cs="仿宋"/>
          <w:sz w:val="32"/>
          <w:szCs w:val="32"/>
        </w:rPr>
        <w:t>对采集到的传播数据进行处理和分析，支撑市融技术平台综合展示大屏和传播分析大屏的传播力排名和核心指标展示，支撑新闻质量考核模块的稿件评分和绩效评价，支撑中心各类活动和平台的传播效果统计分析。分析结果以可视化大屏、数据报表等形式输出，支撑融立方4号可视化大屏的数据展示，支撑AI助手的数据查询功能。同时，媒资库为采编人员提供历史稿件的检索复用服务，为音视频素材提供检索和调用服务，支撑稿件编写、节目制作等内容生产环节对历史素材的调用需求。若停止续费，传播数据无法采集，传播大屏数据停止更新，新闻考核所需数据断供，传播效果无法量化，AI助手的数据查询功能受限；历史稿件、图片和音视频素材无法检索调用，素材管理效率大幅下降。</w:t>
      </w:r>
    </w:p>
    <w:p w14:paraId="60936F7B">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云服务资源方面，数据底座还对采集汇聚的各类数据资源进行统一识别、存储、管理，需单独使用计算、存储资源，含服务器、mysql+es、对象存储、CDN等云服务资源。若停止续费，传播数据存储中断，历史传播数据面临丢失风险；媒资库中已积累的稿件、图片和音视频素材将无法访问，内容资产安全受到威胁。。</w:t>
      </w:r>
    </w:p>
    <w:p w14:paraId="5DB1EE71">
      <w:pPr>
        <w:ind w:firstLine="640" w:firstLineChars="200"/>
        <w:rPr>
          <w:rFonts w:hint="eastAsia" w:ascii="仿宋" w:hAnsi="仿宋" w:eastAsia="仿宋" w:cs="仿宋"/>
          <w:sz w:val="32"/>
          <w:szCs w:val="32"/>
        </w:rPr>
      </w:pPr>
      <w:r>
        <w:rPr>
          <w:rFonts w:hint="eastAsia" w:ascii="仿宋" w:hAnsi="仿宋" w:eastAsia="仿宋" w:cs="仿宋"/>
          <w:sz w:val="32"/>
          <w:szCs w:val="32"/>
        </w:rPr>
        <w:t>综上，数据及媒资底座分别支撑传播数据分析与内容资产管理，</w:t>
      </w:r>
      <w:r>
        <w:rPr>
          <w:rFonts w:hint="eastAsia" w:ascii="仿宋" w:hAnsi="仿宋" w:eastAsia="仿宋" w:cs="仿宋"/>
          <w:sz w:val="32"/>
          <w:szCs w:val="32"/>
          <w:lang w:val="en-US" w:eastAsia="zh-CN"/>
        </w:rPr>
        <w:t>所需数据服务</w:t>
      </w:r>
      <w:r>
        <w:rPr>
          <w:rFonts w:hint="eastAsia" w:ascii="仿宋" w:hAnsi="仿宋" w:eastAsia="仿宋" w:cs="仿宋"/>
          <w:sz w:val="32"/>
          <w:szCs w:val="32"/>
        </w:rPr>
        <w:t>均按年度续费，到期停止</w:t>
      </w:r>
      <w:r>
        <w:rPr>
          <w:rFonts w:hint="eastAsia" w:ascii="仿宋" w:hAnsi="仿宋" w:eastAsia="仿宋" w:cs="仿宋"/>
          <w:sz w:val="32"/>
          <w:szCs w:val="32"/>
          <w:lang w:val="en-US" w:eastAsia="zh-CN"/>
        </w:rPr>
        <w:t>后</w:t>
      </w:r>
      <w:r>
        <w:rPr>
          <w:rFonts w:hint="eastAsia" w:ascii="仿宋" w:hAnsi="仿宋" w:eastAsia="仿宋" w:cs="仿宋"/>
          <w:sz w:val="32"/>
          <w:szCs w:val="32"/>
        </w:rPr>
        <w:t>无法通过内部调配或其他方式替代。及时续费是保障数据服务和媒资管理持续运行的基本前提，具有完全的紧迫性和必要性。</w:t>
      </w:r>
    </w:p>
    <w:p w14:paraId="1E34A106">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三、实施进度安排</w:t>
      </w:r>
    </w:p>
    <w:p w14:paraId="1AE3CB02">
      <w:pPr>
        <w:ind w:firstLine="640" w:firstLineChars="200"/>
        <w:rPr>
          <w:rFonts w:hint="eastAsia" w:ascii="仿宋" w:hAnsi="仿宋" w:eastAsia="仿宋" w:cs="仿宋"/>
          <w:sz w:val="32"/>
          <w:szCs w:val="32"/>
        </w:rPr>
      </w:pPr>
      <w:r>
        <w:rPr>
          <w:rFonts w:hint="eastAsia" w:ascii="仿宋" w:hAnsi="仿宋" w:eastAsia="仿宋" w:cs="仿宋"/>
          <w:sz w:val="32"/>
          <w:szCs w:val="32"/>
        </w:rPr>
        <w:t>本项目为服务续费采购项目，主要工作是在服务到期前完成续费流程，保障数据采集和分析不中断。</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2213"/>
        <w:gridCol w:w="4323"/>
      </w:tblGrid>
      <w:tr w14:paraId="7E93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12F174E0">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阶段</w:t>
            </w:r>
          </w:p>
        </w:tc>
        <w:tc>
          <w:tcPr>
            <w:tcW w:w="2213" w:type="dxa"/>
          </w:tcPr>
          <w:p w14:paraId="4DD7BF0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时间范围</w:t>
            </w:r>
          </w:p>
        </w:tc>
        <w:tc>
          <w:tcPr>
            <w:tcW w:w="4323" w:type="dxa"/>
          </w:tcPr>
          <w:p w14:paraId="30CEFCB3">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主要任务</w:t>
            </w:r>
          </w:p>
        </w:tc>
      </w:tr>
      <w:tr w14:paraId="57BE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3A0BDB36">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第一阶段：续费准备与采购启动</w:t>
            </w:r>
          </w:p>
        </w:tc>
        <w:tc>
          <w:tcPr>
            <w:tcW w:w="2213" w:type="dxa"/>
          </w:tcPr>
          <w:p w14:paraId="2E460F92">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第</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1-2</w:t>
            </w:r>
            <w:r>
              <w:rPr>
                <w:rFonts w:hint="eastAsia" w:ascii="仿宋" w:hAnsi="仿宋" w:eastAsia="仿宋" w:cs="仿宋"/>
                <w:color w:val="000000" w:themeColor="text1"/>
                <w:sz w:val="28"/>
                <w:szCs w:val="28"/>
                <w:vertAlign w:val="baseline"/>
                <w14:textFill>
                  <w14:solidFill>
                    <w14:schemeClr w14:val="tx1"/>
                  </w14:solidFill>
                </w14:textFill>
              </w:rPr>
              <w:t>个月</w:t>
            </w:r>
            <w:r>
              <w:rPr>
                <w:rFonts w:hint="eastAsia" w:ascii="仿宋" w:hAnsi="仿宋" w:eastAsia="仿宋" w:cs="仿宋"/>
                <w:color w:val="000000" w:themeColor="text1"/>
                <w:sz w:val="28"/>
                <w:szCs w:val="28"/>
                <w:vertAlign w:val="baseline"/>
                <w:lang w:eastAsia="zh-CN"/>
                <w14:textFill>
                  <w14:solidFill>
                    <w14:schemeClr w14:val="tx1"/>
                  </w14:solidFill>
                </w14:textFill>
              </w:rPr>
              <w:t>（</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2026年5-7月</w:t>
            </w:r>
            <w:r>
              <w:rPr>
                <w:rFonts w:hint="eastAsia" w:ascii="仿宋" w:hAnsi="仿宋" w:eastAsia="仿宋" w:cs="仿宋"/>
                <w:color w:val="000000" w:themeColor="text1"/>
                <w:sz w:val="28"/>
                <w:szCs w:val="28"/>
                <w:vertAlign w:val="baseline"/>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ab/>
            </w:r>
          </w:p>
        </w:tc>
        <w:tc>
          <w:tcPr>
            <w:tcW w:w="4323" w:type="dxa"/>
          </w:tcPr>
          <w:p w14:paraId="2F964691">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汇总数据</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及</w:t>
            </w:r>
            <w:r>
              <w:rPr>
                <w:rFonts w:hint="eastAsia" w:ascii="仿宋" w:hAnsi="仿宋" w:eastAsia="仿宋" w:cs="仿宋"/>
                <w:color w:val="000000" w:themeColor="text1"/>
                <w:sz w:val="28"/>
                <w:szCs w:val="28"/>
                <w:vertAlign w:val="baseline"/>
                <w14:textFill>
                  <w14:solidFill>
                    <w14:schemeClr w14:val="tx1"/>
                  </w14:solidFill>
                </w14:textFill>
              </w:rPr>
              <w:t>媒资底座的到期时间，编制续费清单；确定续费规格和计费方式；编制采购文件并启动采购程序</w:t>
            </w:r>
          </w:p>
        </w:tc>
      </w:tr>
      <w:tr w14:paraId="5D17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16CD15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第二阶段：采购执行与合同签订</w:t>
            </w:r>
          </w:p>
        </w:tc>
        <w:tc>
          <w:tcPr>
            <w:tcW w:w="2213" w:type="dxa"/>
          </w:tcPr>
          <w:p w14:paraId="2A42263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第</w:t>
            </w:r>
            <w:r>
              <w:rPr>
                <w:rFonts w:hint="eastAsia" w:ascii="仿宋" w:hAnsi="仿宋" w:eastAsia="仿宋" w:cs="仿宋"/>
                <w:color w:val="000000" w:themeColor="text1"/>
                <w:sz w:val="28"/>
                <w:szCs w:val="28"/>
                <w14:textFill>
                  <w14:solidFill>
                    <w14:schemeClr w14:val="tx1"/>
                  </w14:solidFill>
                </w14:textFill>
              </w:rPr>
              <w:t>2个月（</w:t>
            </w:r>
            <w:bookmarkStart w:id="0" w:name="_GoBack"/>
            <w:bookmarkEnd w:id="0"/>
            <w:r>
              <w:rPr>
                <w:rFonts w:hint="eastAsia" w:ascii="仿宋" w:hAnsi="仿宋" w:eastAsia="仿宋" w:cs="仿宋"/>
                <w:color w:val="000000" w:themeColor="text1"/>
                <w:sz w:val="28"/>
                <w:szCs w:val="28"/>
                <w:lang w:val="en-US" w:eastAsia="zh-CN"/>
                <w14:textFill>
                  <w14:solidFill>
                    <w14:schemeClr w14:val="tx1"/>
                  </w14:solidFill>
                </w14:textFill>
              </w:rPr>
              <w:t>7</w:t>
            </w:r>
            <w:r>
              <w:rPr>
                <w:rFonts w:hint="eastAsia" w:ascii="仿宋" w:hAnsi="仿宋" w:eastAsia="仿宋" w:cs="仿宋"/>
                <w:color w:val="000000" w:themeColor="text1"/>
                <w:sz w:val="28"/>
                <w:szCs w:val="28"/>
                <w14:textFill>
                  <w14:solidFill>
                    <w14:schemeClr w14:val="tx1"/>
                  </w14:solidFill>
                </w14:textFill>
              </w:rPr>
              <w:t>月）</w:t>
            </w:r>
          </w:p>
        </w:tc>
        <w:tc>
          <w:tcPr>
            <w:tcW w:w="4323" w:type="dxa"/>
          </w:tcPr>
          <w:p w14:paraId="5916101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完成供应商选择与商务谈判；签订数据</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及</w:t>
            </w:r>
            <w:r>
              <w:rPr>
                <w:rFonts w:hint="eastAsia" w:ascii="仿宋" w:hAnsi="仿宋" w:eastAsia="仿宋" w:cs="仿宋"/>
                <w:color w:val="000000" w:themeColor="text1"/>
                <w:sz w:val="28"/>
                <w:szCs w:val="28"/>
                <w:vertAlign w:val="baseline"/>
                <w14:textFill>
                  <w14:solidFill>
                    <w14:schemeClr w14:val="tx1"/>
                  </w14:solidFill>
                </w14:textFill>
              </w:rPr>
              <w:t>媒资底座续费合同；确保新合同起止时间与现有合同到期时间衔接</w:t>
            </w:r>
          </w:p>
        </w:tc>
      </w:tr>
      <w:tr w14:paraId="0526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214820E1">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第三阶段：续费确认与过渡验证</w:t>
            </w:r>
          </w:p>
        </w:tc>
        <w:tc>
          <w:tcPr>
            <w:tcW w:w="2213" w:type="dxa"/>
          </w:tcPr>
          <w:p w14:paraId="52158D05">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w:t>
            </w:r>
            <w:r>
              <w:rPr>
                <w:rFonts w:hint="eastAsia" w:ascii="仿宋" w:hAnsi="仿宋" w:eastAsia="仿宋" w:cs="仿宋"/>
                <w:color w:val="000000" w:themeColor="text1"/>
                <w:sz w:val="28"/>
                <w:szCs w:val="28"/>
                <w:lang w:val="en-US" w:eastAsia="zh-CN"/>
                <w14:textFill>
                  <w14:solidFill>
                    <w14:schemeClr w14:val="tx1"/>
                  </w14:solidFill>
                </w14:textFill>
              </w:rPr>
              <w:t>2-3</w:t>
            </w:r>
            <w:r>
              <w:rPr>
                <w:rFonts w:hint="eastAsia" w:ascii="仿宋" w:hAnsi="仿宋" w:eastAsia="仿宋" w:cs="仿宋"/>
                <w:color w:val="000000" w:themeColor="text1"/>
                <w:sz w:val="28"/>
                <w:szCs w:val="28"/>
                <w14:textFill>
                  <w14:solidFill>
                    <w14:schemeClr w14:val="tx1"/>
                  </w14:solidFill>
                </w14:textFill>
              </w:rPr>
              <w:t>个月（</w:t>
            </w:r>
            <w:r>
              <w:rPr>
                <w:rFonts w:hint="eastAsia" w:ascii="仿宋" w:hAnsi="仿宋" w:eastAsia="仿宋" w:cs="仿宋"/>
                <w:color w:val="000000" w:themeColor="text1"/>
                <w:sz w:val="28"/>
                <w:szCs w:val="28"/>
                <w:lang w:val="en-US" w:eastAsia="zh-CN"/>
                <w14:textFill>
                  <w14:solidFill>
                    <w14:schemeClr w14:val="tx1"/>
                  </w14:solidFill>
                </w14:textFill>
              </w:rPr>
              <w:t>7-8</w:t>
            </w:r>
            <w:r>
              <w:rPr>
                <w:rFonts w:hint="eastAsia" w:ascii="仿宋" w:hAnsi="仿宋" w:eastAsia="仿宋" w:cs="仿宋"/>
                <w:color w:val="000000" w:themeColor="text1"/>
                <w:sz w:val="28"/>
                <w:szCs w:val="28"/>
                <w14:textFill>
                  <w14:solidFill>
                    <w14:schemeClr w14:val="tx1"/>
                  </w14:solidFill>
                </w14:textFill>
              </w:rPr>
              <w:t>月）</w:t>
            </w:r>
          </w:p>
        </w:tc>
        <w:tc>
          <w:tcPr>
            <w:tcW w:w="4323" w:type="dxa"/>
          </w:tcPr>
          <w:p w14:paraId="4DA86002">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完成数据</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及</w:t>
            </w:r>
            <w:r>
              <w:rPr>
                <w:rFonts w:hint="eastAsia" w:ascii="仿宋" w:hAnsi="仿宋" w:eastAsia="仿宋" w:cs="仿宋"/>
                <w:color w:val="000000" w:themeColor="text1"/>
                <w:sz w:val="28"/>
                <w:szCs w:val="28"/>
                <w:vertAlign w:val="baseline"/>
                <w14:textFill>
                  <w14:solidFill>
                    <w14:schemeClr w14:val="tx1"/>
                  </w14:solidFill>
                </w14:textFill>
              </w:rPr>
              <w:t>媒资底座的续费支付和配置确认；核验传播数据采集和分析功能正常；确认媒资存储、检索功能正常，确保过渡期无中断</w:t>
            </w:r>
          </w:p>
        </w:tc>
      </w:tr>
      <w:tr w14:paraId="7A52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3D41BEE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第四阶段：运行监控与项目验收</w:t>
            </w:r>
          </w:p>
        </w:tc>
        <w:tc>
          <w:tcPr>
            <w:tcW w:w="2213" w:type="dxa"/>
          </w:tcPr>
          <w:p w14:paraId="6248675C">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w:t>
            </w:r>
            <w:r>
              <w:rPr>
                <w:rFonts w:hint="eastAsia" w:ascii="仿宋" w:hAnsi="仿宋" w:eastAsia="仿宋" w:cs="仿宋"/>
                <w:color w:val="000000" w:themeColor="text1"/>
                <w:sz w:val="28"/>
                <w:szCs w:val="28"/>
                <w:lang w:val="en-US" w:eastAsia="zh-CN"/>
                <w14:textFill>
                  <w14:solidFill>
                    <w14:schemeClr w14:val="tx1"/>
                  </w14:solidFill>
                </w14:textFill>
              </w:rPr>
              <w:t>2-7</w:t>
            </w:r>
            <w:r>
              <w:rPr>
                <w:rFonts w:hint="eastAsia" w:ascii="仿宋" w:hAnsi="仿宋" w:eastAsia="仿宋" w:cs="仿宋"/>
                <w:color w:val="000000" w:themeColor="text1"/>
                <w:sz w:val="28"/>
                <w:szCs w:val="28"/>
                <w14:textFill>
                  <w14:solidFill>
                    <w14:schemeClr w14:val="tx1"/>
                  </w14:solidFill>
                </w14:textFill>
              </w:rPr>
              <w:t>个月</w:t>
            </w:r>
          </w:p>
          <w:p w14:paraId="4A83A403">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2026年7月</w:t>
            </w:r>
          </w:p>
          <w:p w14:paraId="59D6748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-2027年5</w:t>
            </w:r>
            <w:r>
              <w:rPr>
                <w:rFonts w:hint="eastAsia" w:ascii="仿宋" w:hAnsi="仿宋" w:eastAsia="仿宋" w:cs="仿宋"/>
                <w:color w:val="000000" w:themeColor="text1"/>
                <w:sz w:val="28"/>
                <w:szCs w:val="28"/>
                <w14:textFill>
                  <w14:solidFill>
                    <w14:schemeClr w14:val="tx1"/>
                  </w14:solidFill>
                </w14:textFill>
              </w:rPr>
              <w:t>月）</w:t>
            </w:r>
          </w:p>
        </w:tc>
        <w:tc>
          <w:tcPr>
            <w:tcW w:w="4323" w:type="dxa"/>
          </w:tcPr>
          <w:p w14:paraId="3623DEC6">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持续监控数据</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及</w:t>
            </w:r>
            <w:r>
              <w:rPr>
                <w:rFonts w:hint="eastAsia" w:ascii="仿宋" w:hAnsi="仿宋" w:eastAsia="仿宋" w:cs="仿宋"/>
                <w:color w:val="000000" w:themeColor="text1"/>
                <w:sz w:val="28"/>
                <w:szCs w:val="28"/>
                <w:vertAlign w:val="baseline"/>
                <w14:textFill>
                  <w14:solidFill>
                    <w14:schemeClr w14:val="tx1"/>
                  </w14:solidFill>
                </w14:textFill>
              </w:rPr>
              <w:t>媒资底座运行质量，确认传播数据采集完整、分析输出及时，素材存储可用、媒资检索正常；完成项目验收和资料归档</w:t>
            </w:r>
          </w:p>
        </w:tc>
      </w:tr>
    </w:tbl>
    <w:p w14:paraId="42B60558">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四、资金预算与筹措</w:t>
      </w:r>
    </w:p>
    <w:p w14:paraId="5CA477FC">
      <w:pPr>
        <w:ind w:firstLine="640" w:firstLineChars="200"/>
        <w:rPr>
          <w:rFonts w:hint="eastAsia" w:ascii="仿宋" w:hAnsi="仿宋" w:eastAsia="仿宋" w:cs="仿宋"/>
          <w:sz w:val="32"/>
          <w:szCs w:val="32"/>
        </w:rPr>
      </w:pPr>
      <w:r>
        <w:rPr>
          <w:rFonts w:hint="eastAsia" w:ascii="仿宋" w:hAnsi="仿宋" w:eastAsia="仿宋" w:cs="仿宋"/>
          <w:sz w:val="32"/>
          <w:szCs w:val="32"/>
        </w:rPr>
        <w:t>（一）总投资与资金用途</w:t>
      </w:r>
    </w:p>
    <w:p w14:paraId="4FE5A627">
      <w:pPr>
        <w:ind w:firstLine="640" w:firstLineChars="200"/>
        <w:rPr>
          <w:rFonts w:hint="eastAsia" w:ascii="仿宋" w:hAnsi="仿宋" w:eastAsia="仿宋" w:cs="仿宋"/>
          <w:sz w:val="32"/>
          <w:szCs w:val="32"/>
        </w:rPr>
      </w:pPr>
      <w:r>
        <w:rPr>
          <w:rFonts w:hint="eastAsia" w:ascii="仿宋" w:hAnsi="仿宋" w:eastAsia="仿宋" w:cs="仿宋"/>
          <w:sz w:val="32"/>
          <w:szCs w:val="32"/>
        </w:rPr>
        <w:t>项目总投资</w:t>
      </w:r>
      <w:r>
        <w:rPr>
          <w:rFonts w:hint="eastAsia" w:ascii="仿宋" w:hAnsi="仿宋" w:eastAsia="仿宋" w:cs="仿宋"/>
          <w:sz w:val="32"/>
          <w:szCs w:val="32"/>
          <w:lang w:val="en-US" w:eastAsia="zh-CN"/>
        </w:rPr>
        <w:t>48</w:t>
      </w:r>
      <w:r>
        <w:rPr>
          <w:rFonts w:hint="eastAsia" w:ascii="仿宋" w:hAnsi="仿宋" w:eastAsia="仿宋" w:cs="仿宋"/>
          <w:sz w:val="32"/>
          <w:szCs w:val="32"/>
        </w:rPr>
        <w:t>万元，全部申请专项资金支持。预算分配如下：</w:t>
      </w:r>
    </w:p>
    <w:tbl>
      <w:tblPr>
        <w:tblStyle w:val="3"/>
        <w:tblW w:w="848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5"/>
        <w:gridCol w:w="1679"/>
        <w:gridCol w:w="5071"/>
      </w:tblGrid>
      <w:tr w14:paraId="24B91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952669A">
            <w:pPr>
              <w:keepNext w:val="0"/>
              <w:keepLines w:val="0"/>
              <w:widowControl/>
              <w:suppressLineNumbers w:val="0"/>
              <w:jc w:val="center"/>
              <w:textAlignment w:val="top"/>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类别</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top"/>
          </w:tcPr>
          <w:p w14:paraId="2BD33A69">
            <w:pPr>
              <w:keepNext w:val="0"/>
              <w:keepLines w:val="0"/>
              <w:widowControl/>
              <w:suppressLineNumbers w:val="0"/>
              <w:jc w:val="center"/>
              <w:textAlignment w:val="top"/>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金额（万元）</w:t>
            </w:r>
          </w:p>
        </w:tc>
        <w:tc>
          <w:tcPr>
            <w:tcW w:w="5071" w:type="dxa"/>
            <w:tcBorders>
              <w:top w:val="single" w:color="000000" w:sz="4" w:space="0"/>
              <w:left w:val="single" w:color="000000" w:sz="4" w:space="0"/>
              <w:bottom w:val="single" w:color="000000" w:sz="4" w:space="0"/>
              <w:right w:val="single" w:color="000000" w:sz="4" w:space="0"/>
            </w:tcBorders>
            <w:shd w:val="clear" w:color="auto" w:fill="auto"/>
            <w:vAlign w:val="top"/>
          </w:tcPr>
          <w:p w14:paraId="3FC86C1C">
            <w:pPr>
              <w:keepNext w:val="0"/>
              <w:keepLines w:val="0"/>
              <w:widowControl/>
              <w:suppressLineNumbers w:val="0"/>
              <w:jc w:val="center"/>
              <w:textAlignment w:val="top"/>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主要用途</w:t>
            </w:r>
          </w:p>
        </w:tc>
      </w:tr>
      <w:tr w14:paraId="2D10B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5BF73E">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sz w:val="28"/>
                <w:szCs w:val="28"/>
              </w:rPr>
              <w:t>数据资源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C6BC09">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sz w:val="28"/>
                <w:szCs w:val="28"/>
              </w:rPr>
              <w:t>28</w:t>
            </w:r>
            <w:r>
              <w:rPr>
                <w:rFonts w:hint="eastAsia" w:ascii="仿宋" w:hAnsi="仿宋" w:eastAsia="仿宋" w:cs="仿宋"/>
                <w:sz w:val="28"/>
                <w:szCs w:val="28"/>
              </w:rPr>
              <w:tab/>
            </w:r>
          </w:p>
        </w:tc>
        <w:tc>
          <w:tcPr>
            <w:tcW w:w="5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A7D64">
            <w:pPr>
              <w:keepNext w:val="0"/>
              <w:keepLines w:val="0"/>
              <w:widowControl/>
              <w:suppressLineNumbers w:val="0"/>
              <w:jc w:val="left"/>
              <w:textAlignment w:val="center"/>
              <w:rPr>
                <w:rFonts w:hint="eastAsia" w:ascii="仿宋" w:hAnsi="仿宋" w:eastAsia="仿宋" w:cs="仿宋"/>
                <w:sz w:val="28"/>
                <w:szCs w:val="28"/>
              </w:rPr>
            </w:pPr>
            <w:r>
              <w:rPr>
                <w:rFonts w:hint="eastAsia" w:ascii="仿宋" w:hAnsi="仿宋" w:eastAsia="仿宋" w:cs="仿宋"/>
                <w:sz w:val="28"/>
                <w:szCs w:val="28"/>
              </w:rPr>
              <w:t>数据层面：各新媒体平台和网站内容传播数据采集，阅读量、点赞、评论、转发、收藏等数据监测，市融技术平台综合展示、传播分析等可视化大屏数据更新，新闻质量考核稿件评分数据支撑，融立方4号可视化大屏数据展示，中心各类活动和平台的传播效果分析统计。</w:t>
            </w:r>
          </w:p>
          <w:p w14:paraId="49C443EC">
            <w:pPr>
              <w:keepNext w:val="0"/>
              <w:keepLines w:val="0"/>
              <w:widowControl/>
              <w:suppressLineNumbers w:val="0"/>
              <w:jc w:val="left"/>
              <w:textAlignment w:val="center"/>
              <w:rPr>
                <w:rFonts w:hint="eastAsia" w:ascii="仿宋" w:hAnsi="仿宋" w:eastAsia="仿宋" w:cs="仿宋"/>
                <w:i w:val="0"/>
                <w:iCs w:val="0"/>
                <w:color w:val="000000"/>
                <w:sz w:val="28"/>
                <w:szCs w:val="28"/>
                <w:u w:val="none"/>
                <w:lang w:eastAsia="zh-CN"/>
              </w:rPr>
            </w:pPr>
            <w:r>
              <w:rPr>
                <w:rFonts w:hint="eastAsia" w:ascii="仿宋" w:hAnsi="仿宋" w:eastAsia="仿宋" w:cs="仿宋"/>
                <w:sz w:val="28"/>
                <w:szCs w:val="28"/>
              </w:rPr>
              <w:t>媒资层面：媒资库稿件文本、图片、音视频素材的</w:t>
            </w:r>
            <w:r>
              <w:rPr>
                <w:rFonts w:hint="eastAsia" w:ascii="仿宋" w:hAnsi="仿宋" w:eastAsia="仿宋" w:cs="仿宋"/>
                <w:sz w:val="28"/>
                <w:szCs w:val="28"/>
                <w:lang w:val="en-US" w:eastAsia="zh-CN"/>
              </w:rPr>
              <w:t>采集、分析</w:t>
            </w:r>
            <w:r>
              <w:rPr>
                <w:rFonts w:hint="eastAsia" w:ascii="仿宋" w:hAnsi="仿宋" w:eastAsia="仿宋" w:cs="仿宋"/>
                <w:sz w:val="28"/>
                <w:szCs w:val="28"/>
              </w:rPr>
              <w:t>管理，历史素材的检索与复用服务</w:t>
            </w:r>
            <w:r>
              <w:rPr>
                <w:rFonts w:hint="eastAsia" w:ascii="仿宋" w:hAnsi="仿宋" w:eastAsia="仿宋" w:cs="仿宋"/>
                <w:sz w:val="28"/>
                <w:szCs w:val="28"/>
                <w:lang w:eastAsia="zh-CN"/>
              </w:rPr>
              <w:t>。</w:t>
            </w:r>
          </w:p>
        </w:tc>
      </w:tr>
      <w:tr w14:paraId="37C1B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C690E7">
            <w:pPr>
              <w:keepNext w:val="0"/>
              <w:keepLines w:val="0"/>
              <w:widowControl/>
              <w:suppressLineNumbers w:val="0"/>
              <w:jc w:val="center"/>
              <w:textAlignment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存储及数据处理资源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E3056">
            <w:pPr>
              <w:keepNext w:val="0"/>
              <w:keepLines w:val="0"/>
              <w:widowControl/>
              <w:suppressLineNumbers w:val="0"/>
              <w:jc w:val="center"/>
              <w:textAlignment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w:t>
            </w:r>
          </w:p>
        </w:tc>
        <w:tc>
          <w:tcPr>
            <w:tcW w:w="5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7A2D2">
            <w:pPr>
              <w:keepNext w:val="0"/>
              <w:keepLines w:val="0"/>
              <w:widowControl/>
              <w:suppressLineNumbers w:val="0"/>
              <w:jc w:val="left"/>
              <w:textAlignment w:val="center"/>
              <w:rPr>
                <w:rFonts w:hint="eastAsia" w:ascii="仿宋" w:hAnsi="仿宋" w:eastAsia="仿宋" w:cs="仿宋"/>
                <w:sz w:val="28"/>
                <w:szCs w:val="28"/>
              </w:rPr>
            </w:pPr>
            <w:r>
              <w:rPr>
                <w:rFonts w:hint="eastAsia" w:ascii="仿宋" w:hAnsi="仿宋" w:eastAsia="仿宋" w:cs="仿宋"/>
                <w:sz w:val="28"/>
                <w:szCs w:val="28"/>
                <w:lang w:val="en-US" w:eastAsia="zh-CN"/>
              </w:rPr>
              <w:t>支撑数据及媒资底座运转所需的基础资源，同时覆盖支撑数据采集的爬虫能力资源，数据处理的标注、清洗、分析的以及AI大模型资源等。</w:t>
            </w:r>
          </w:p>
        </w:tc>
      </w:tr>
      <w:tr w14:paraId="78174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43BEB">
            <w:pPr>
              <w:keepNext w:val="0"/>
              <w:keepLines w:val="0"/>
              <w:widowControl/>
              <w:suppressLineNumbers w:val="0"/>
              <w:jc w:val="center"/>
              <w:textAlignment w:val="center"/>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合计</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7E415">
            <w:pPr>
              <w:keepNext w:val="0"/>
              <w:keepLines w:val="0"/>
              <w:widowControl/>
              <w:suppressLineNumbers w:val="0"/>
              <w:jc w:val="center"/>
              <w:textAlignment w:val="center"/>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48</w:t>
            </w:r>
          </w:p>
        </w:tc>
        <w:tc>
          <w:tcPr>
            <w:tcW w:w="5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29644">
            <w:pPr>
              <w:keepNext w:val="0"/>
              <w:keepLines w:val="0"/>
              <w:widowControl/>
              <w:suppressLineNumbers w:val="0"/>
              <w:jc w:val="left"/>
              <w:textAlignment w:val="center"/>
              <w:rPr>
                <w:rFonts w:hint="eastAsia" w:ascii="仿宋" w:hAnsi="仿宋" w:eastAsia="仿宋" w:cs="仿宋"/>
                <w:sz w:val="28"/>
                <w:szCs w:val="28"/>
                <w:lang w:val="en-US" w:eastAsia="zh-CN"/>
              </w:rPr>
            </w:pPr>
          </w:p>
        </w:tc>
      </w:tr>
    </w:tbl>
    <w:p w14:paraId="47176C82">
      <w:pPr>
        <w:ind w:firstLine="640" w:firstLineChars="200"/>
        <w:rPr>
          <w:rFonts w:hint="eastAsia" w:ascii="仿宋" w:hAnsi="仿宋" w:eastAsia="仿宋" w:cs="仿宋"/>
          <w:sz w:val="32"/>
          <w:szCs w:val="32"/>
        </w:rPr>
      </w:pPr>
      <w:r>
        <w:rPr>
          <w:rFonts w:hint="eastAsia" w:ascii="仿宋" w:hAnsi="仿宋" w:eastAsia="仿宋" w:cs="仿宋"/>
          <w:sz w:val="32"/>
          <w:szCs w:val="32"/>
        </w:rPr>
        <w:t>（二）资金筹措方案</w:t>
      </w:r>
    </w:p>
    <w:p w14:paraId="0D09FF96">
      <w:pPr>
        <w:ind w:firstLine="640" w:firstLineChars="200"/>
        <w:rPr>
          <w:rFonts w:hint="eastAsia" w:ascii="仿宋" w:hAnsi="仿宋" w:eastAsia="仿宋" w:cs="仿宋"/>
          <w:sz w:val="32"/>
          <w:szCs w:val="32"/>
        </w:rPr>
      </w:pPr>
      <w:r>
        <w:rPr>
          <w:rFonts w:hint="eastAsia" w:ascii="仿宋" w:hAnsi="仿宋" w:eastAsia="仿宋" w:cs="仿宋"/>
          <w:sz w:val="32"/>
          <w:szCs w:val="32"/>
        </w:rPr>
        <w:t>申请专项资金：</w:t>
      </w:r>
      <w:r>
        <w:rPr>
          <w:rFonts w:hint="eastAsia" w:ascii="仿宋" w:hAnsi="仿宋" w:eastAsia="仿宋" w:cs="仿宋"/>
          <w:sz w:val="32"/>
          <w:szCs w:val="32"/>
          <w:lang w:val="en-US" w:eastAsia="zh-CN"/>
        </w:rPr>
        <w:t>48</w:t>
      </w:r>
      <w:r>
        <w:rPr>
          <w:rFonts w:hint="eastAsia" w:ascii="仿宋" w:hAnsi="仿宋" w:eastAsia="仿宋" w:cs="仿宋"/>
          <w:sz w:val="32"/>
          <w:szCs w:val="32"/>
        </w:rPr>
        <w:t>万元（占比100%）</w:t>
      </w:r>
    </w:p>
    <w:p w14:paraId="52EF33D4">
      <w:pPr>
        <w:ind w:firstLine="640" w:firstLineChars="200"/>
        <w:rPr>
          <w:rFonts w:hint="eastAsia" w:ascii="仿宋" w:hAnsi="仿宋" w:eastAsia="仿宋" w:cs="仿宋"/>
          <w:sz w:val="32"/>
          <w:szCs w:val="32"/>
        </w:rPr>
      </w:pPr>
      <w:r>
        <w:rPr>
          <w:rFonts w:hint="eastAsia" w:ascii="仿宋" w:hAnsi="仿宋" w:eastAsia="仿宋" w:cs="仿宋"/>
          <w:sz w:val="32"/>
          <w:szCs w:val="32"/>
        </w:rPr>
        <w:t>已到位资金、银行贷款及其他资金：0万元</w:t>
      </w:r>
    </w:p>
    <w:p w14:paraId="302A60F4">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五、效益分析</w:t>
      </w:r>
    </w:p>
    <w:p w14:paraId="4FDCFEE1">
      <w:pPr>
        <w:ind w:firstLine="640" w:firstLineChars="200"/>
        <w:rPr>
          <w:rFonts w:hint="eastAsia" w:ascii="仿宋" w:hAnsi="仿宋" w:eastAsia="仿宋" w:cs="仿宋"/>
          <w:sz w:val="32"/>
          <w:szCs w:val="32"/>
        </w:rPr>
      </w:pPr>
      <w:r>
        <w:rPr>
          <w:rFonts w:hint="eastAsia" w:ascii="仿宋" w:hAnsi="仿宋" w:eastAsia="仿宋" w:cs="仿宋"/>
          <w:sz w:val="32"/>
          <w:szCs w:val="32"/>
        </w:rPr>
        <w:t>（一）经济效益</w:t>
      </w:r>
    </w:p>
    <w:p w14:paraId="4AB4E85D">
      <w:pPr>
        <w:ind w:firstLine="640" w:firstLineChars="200"/>
        <w:rPr>
          <w:rFonts w:hint="eastAsia" w:ascii="仿宋" w:hAnsi="仿宋" w:eastAsia="仿宋" w:cs="仿宋"/>
          <w:sz w:val="32"/>
          <w:szCs w:val="32"/>
        </w:rPr>
      </w:pPr>
      <w:r>
        <w:rPr>
          <w:rFonts w:hint="eastAsia" w:ascii="仿宋" w:hAnsi="仿宋" w:eastAsia="仿宋" w:cs="仿宋"/>
          <w:sz w:val="32"/>
          <w:szCs w:val="32"/>
        </w:rPr>
        <w:t>通过续费保障数据及媒资底座的持续运行。数据底座续费可维持传播数据的持续采集和分析，避免因数据中断导致传播效果评估工作中断。媒资底座续费可维持历史稿件、图片和音视频素材的安全存储和高效复用，避免内容资产损失。</w:t>
      </w:r>
    </w:p>
    <w:p w14:paraId="23EF8C9C">
      <w:pPr>
        <w:ind w:firstLine="640" w:firstLineChars="200"/>
        <w:rPr>
          <w:rFonts w:hint="eastAsia" w:ascii="仿宋" w:hAnsi="仿宋" w:eastAsia="仿宋" w:cs="仿宋"/>
          <w:sz w:val="32"/>
          <w:szCs w:val="32"/>
        </w:rPr>
      </w:pPr>
      <w:r>
        <w:rPr>
          <w:rFonts w:hint="eastAsia" w:ascii="仿宋" w:hAnsi="仿宋" w:eastAsia="仿宋" w:cs="仿宋"/>
          <w:sz w:val="32"/>
          <w:szCs w:val="32"/>
        </w:rPr>
        <w:t>（二）社会效益</w:t>
      </w:r>
    </w:p>
    <w:p w14:paraId="10DF1EAD">
      <w:pPr>
        <w:ind w:firstLine="640" w:firstLineChars="200"/>
        <w:rPr>
          <w:rFonts w:hint="eastAsia" w:ascii="仿宋" w:hAnsi="仿宋" w:eastAsia="仿宋" w:cs="仿宋"/>
          <w:sz w:val="32"/>
          <w:szCs w:val="32"/>
        </w:rPr>
      </w:pPr>
      <w:r>
        <w:rPr>
          <w:rFonts w:hint="eastAsia" w:ascii="仿宋" w:hAnsi="仿宋" w:eastAsia="仿宋" w:cs="仿宋"/>
          <w:sz w:val="32"/>
          <w:szCs w:val="32"/>
        </w:rPr>
        <w:t>数据及媒资底座续费保障传播大屏数据持续更新和新闻质量考核正常开展，为中心的内容生产决策提供数据支撑。同时保障历史素材的安全管理和检索复用，为采编人员调用稿件和素材提供工具支撑。</w:t>
      </w:r>
    </w:p>
    <w:p w14:paraId="67FE2B95">
      <w:pPr>
        <w:ind w:firstLine="640" w:firstLineChars="200"/>
        <w:rPr>
          <w:rFonts w:hint="eastAsia" w:ascii="仿宋" w:hAnsi="仿宋" w:eastAsia="仿宋" w:cs="仿宋"/>
          <w:sz w:val="32"/>
          <w:szCs w:val="32"/>
        </w:rPr>
      </w:pPr>
      <w:r>
        <w:rPr>
          <w:rFonts w:hint="eastAsia" w:ascii="仿宋" w:hAnsi="仿宋" w:eastAsia="仿宋" w:cs="仿宋"/>
          <w:sz w:val="32"/>
          <w:szCs w:val="32"/>
        </w:rPr>
        <w:t>（三）可持续影响</w:t>
      </w:r>
    </w:p>
    <w:p w14:paraId="6C845DE0">
      <w:pPr>
        <w:ind w:firstLine="640" w:firstLineChars="200"/>
        <w:rPr>
          <w:rFonts w:hint="eastAsia" w:ascii="仿宋" w:hAnsi="仿宋" w:eastAsia="仿宋" w:cs="仿宋"/>
          <w:sz w:val="32"/>
          <w:szCs w:val="32"/>
        </w:rPr>
      </w:pPr>
      <w:r>
        <w:rPr>
          <w:rFonts w:hint="eastAsia" w:ascii="仿宋" w:hAnsi="仿宋" w:eastAsia="仿宋" w:cs="仿宋"/>
          <w:sz w:val="32"/>
          <w:szCs w:val="32"/>
        </w:rPr>
        <w:t>本次续费可保障中心数据及媒资底座在未来一个服务周期内具备稳定的资源支撑，避免因数据资源断供导致传播分析能力丧失，避免因媒资底座停用导致内容资产管理效率下降。</w:t>
      </w:r>
    </w:p>
    <w:p w14:paraId="4B173ECE">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六、风险分析与应对</w:t>
      </w:r>
    </w:p>
    <w:p w14:paraId="5DFF818D">
      <w:pPr>
        <w:ind w:firstLine="640" w:firstLineChars="200"/>
        <w:rPr>
          <w:rFonts w:hint="eastAsia" w:ascii="仿宋" w:hAnsi="仿宋" w:eastAsia="仿宋" w:cs="仿宋"/>
          <w:sz w:val="32"/>
          <w:szCs w:val="32"/>
        </w:rPr>
      </w:pPr>
      <w:r>
        <w:rPr>
          <w:rFonts w:hint="eastAsia" w:ascii="仿宋" w:hAnsi="仿宋" w:eastAsia="仿宋" w:cs="仿宋"/>
          <w:sz w:val="32"/>
          <w:szCs w:val="32"/>
        </w:rPr>
        <w:t>（一）资金风险</w:t>
      </w:r>
    </w:p>
    <w:p w14:paraId="61FEAFB7">
      <w:pPr>
        <w:ind w:firstLine="640" w:firstLineChars="200"/>
        <w:rPr>
          <w:rFonts w:hint="eastAsia" w:ascii="仿宋" w:hAnsi="仿宋" w:eastAsia="仿宋" w:cs="仿宋"/>
          <w:sz w:val="32"/>
          <w:szCs w:val="32"/>
        </w:rPr>
      </w:pPr>
      <w:r>
        <w:rPr>
          <w:rFonts w:hint="eastAsia" w:ascii="仿宋" w:hAnsi="仿宋" w:eastAsia="仿宋" w:cs="仿宋"/>
          <w:sz w:val="32"/>
          <w:szCs w:val="32"/>
        </w:rPr>
        <w:t>风险点：资金未能及时到位，导致在服务到期前无法完成续费，数据及媒资底座服务终止。</w:t>
      </w:r>
    </w:p>
    <w:p w14:paraId="1A237445">
      <w:pPr>
        <w:ind w:firstLine="640" w:firstLineChars="200"/>
        <w:rPr>
          <w:rFonts w:hint="eastAsia" w:ascii="仿宋" w:hAnsi="仿宋" w:eastAsia="仿宋" w:cs="仿宋"/>
          <w:sz w:val="32"/>
          <w:szCs w:val="32"/>
        </w:rPr>
      </w:pPr>
      <w:r>
        <w:rPr>
          <w:rFonts w:hint="eastAsia" w:ascii="仿宋" w:hAnsi="仿宋" w:eastAsia="仿宋" w:cs="仿宋"/>
          <w:sz w:val="32"/>
          <w:szCs w:val="32"/>
        </w:rPr>
        <w:t>应对措施：提前启动采购程序，与财政部门保持沟通，确保资金审批与拨付进度匹配续费时间节点。</w:t>
      </w:r>
    </w:p>
    <w:p w14:paraId="09993758">
      <w:pPr>
        <w:ind w:firstLine="640" w:firstLineChars="200"/>
        <w:rPr>
          <w:rFonts w:hint="eastAsia" w:ascii="仿宋" w:hAnsi="仿宋" w:eastAsia="仿宋" w:cs="仿宋"/>
          <w:sz w:val="32"/>
          <w:szCs w:val="32"/>
        </w:rPr>
      </w:pPr>
      <w:r>
        <w:rPr>
          <w:rFonts w:hint="eastAsia" w:ascii="仿宋" w:hAnsi="仿宋" w:eastAsia="仿宋" w:cs="仿宋"/>
          <w:sz w:val="32"/>
          <w:szCs w:val="32"/>
        </w:rPr>
        <w:t>（二）衔接风险</w:t>
      </w:r>
    </w:p>
    <w:p w14:paraId="575D6B84">
      <w:pPr>
        <w:ind w:firstLine="640" w:firstLineChars="200"/>
        <w:rPr>
          <w:rFonts w:hint="eastAsia" w:ascii="仿宋" w:hAnsi="仿宋" w:eastAsia="仿宋" w:cs="仿宋"/>
          <w:sz w:val="32"/>
          <w:szCs w:val="32"/>
        </w:rPr>
      </w:pPr>
      <w:r>
        <w:rPr>
          <w:rFonts w:hint="eastAsia" w:ascii="仿宋" w:hAnsi="仿宋" w:eastAsia="仿宋" w:cs="仿宋"/>
          <w:sz w:val="32"/>
          <w:szCs w:val="32"/>
        </w:rPr>
        <w:t>风险点：新老合同衔接出现空档，传播数据采集和媒资处理可能短暂中断。</w:t>
      </w:r>
    </w:p>
    <w:p w14:paraId="05015360">
      <w:pPr>
        <w:ind w:firstLine="640" w:firstLineChars="200"/>
        <w:rPr>
          <w:rFonts w:hint="eastAsia" w:ascii="仿宋" w:hAnsi="仿宋" w:eastAsia="仿宋" w:cs="仿宋"/>
          <w:sz w:val="32"/>
          <w:szCs w:val="32"/>
        </w:rPr>
      </w:pPr>
      <w:r>
        <w:rPr>
          <w:rFonts w:hint="eastAsia" w:ascii="仿宋" w:hAnsi="仿宋" w:eastAsia="仿宋" w:cs="仿宋"/>
          <w:sz w:val="32"/>
          <w:szCs w:val="32"/>
        </w:rPr>
        <w:t>应对措施：确保新合同生效不晚于旧合同到期。与服务商协商合同宽限期。</w:t>
      </w:r>
    </w:p>
    <w:p w14:paraId="375512E9">
      <w:pPr>
        <w:ind w:firstLine="640" w:firstLineChars="200"/>
        <w:rPr>
          <w:rFonts w:hint="eastAsia" w:ascii="仿宋" w:hAnsi="仿宋" w:eastAsia="仿宋" w:cs="仿宋"/>
          <w:sz w:val="32"/>
          <w:szCs w:val="32"/>
        </w:rPr>
      </w:pPr>
      <w:r>
        <w:rPr>
          <w:rFonts w:hint="eastAsia" w:ascii="仿宋" w:hAnsi="仿宋" w:eastAsia="仿宋" w:cs="仿宋"/>
          <w:sz w:val="32"/>
          <w:szCs w:val="32"/>
        </w:rPr>
        <w:t>（三）数据完整风险</w:t>
      </w:r>
    </w:p>
    <w:p w14:paraId="187EB664">
      <w:pPr>
        <w:ind w:firstLine="640" w:firstLineChars="200"/>
        <w:rPr>
          <w:rFonts w:hint="eastAsia" w:ascii="仿宋" w:hAnsi="仿宋" w:eastAsia="仿宋" w:cs="仿宋"/>
          <w:sz w:val="32"/>
          <w:szCs w:val="32"/>
        </w:rPr>
      </w:pPr>
      <w:r>
        <w:rPr>
          <w:rFonts w:hint="eastAsia" w:ascii="仿宋" w:hAnsi="仿宋" w:eastAsia="仿宋" w:cs="仿宋"/>
          <w:sz w:val="32"/>
          <w:szCs w:val="32"/>
        </w:rPr>
        <w:t>风险点：续费过渡期间数据采集链路中断，导致部分时段传播数据缺失；媒资处理服务终止，新</w:t>
      </w:r>
      <w:r>
        <w:rPr>
          <w:rFonts w:hint="eastAsia" w:ascii="仿宋" w:hAnsi="仿宋" w:eastAsia="仿宋" w:cs="仿宋"/>
          <w:sz w:val="32"/>
          <w:szCs w:val="32"/>
          <w:lang w:val="en-US" w:eastAsia="zh-CN"/>
        </w:rPr>
        <w:t>素材媒资无法入库</w:t>
      </w:r>
      <w:r>
        <w:rPr>
          <w:rFonts w:hint="eastAsia" w:ascii="仿宋" w:hAnsi="仿宋" w:eastAsia="仿宋" w:cs="仿宋"/>
          <w:sz w:val="32"/>
          <w:szCs w:val="32"/>
        </w:rPr>
        <w:t>，历史稿件和素材无法检索调用。</w:t>
      </w:r>
    </w:p>
    <w:p w14:paraId="5B2459BE">
      <w:pPr>
        <w:ind w:firstLine="640" w:firstLineChars="200"/>
        <w:rPr>
          <w:rFonts w:hint="eastAsia" w:ascii="仿宋" w:hAnsi="仿宋" w:eastAsia="仿宋" w:cs="仿宋"/>
          <w:sz w:val="32"/>
          <w:szCs w:val="32"/>
        </w:rPr>
      </w:pPr>
      <w:r>
        <w:rPr>
          <w:rFonts w:hint="eastAsia" w:ascii="仿宋" w:hAnsi="仿宋" w:eastAsia="仿宋" w:cs="仿宋"/>
          <w:sz w:val="32"/>
          <w:szCs w:val="32"/>
        </w:rPr>
        <w:t>应对措施：过渡期间加强人工核验，确认数据回传完整性和媒资处理功能正常。在合同到期前完成关键媒资数据的本地备份。</w:t>
      </w:r>
    </w:p>
    <w:p w14:paraId="6D4960A9">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七、结论</w:t>
      </w:r>
    </w:p>
    <w:p w14:paraId="47796077">
      <w:pPr>
        <w:ind w:firstLine="640" w:firstLineChars="200"/>
        <w:rPr>
          <w:rFonts w:hint="eastAsia" w:ascii="仿宋" w:hAnsi="仿宋" w:eastAsia="仿宋" w:cs="仿宋"/>
          <w:sz w:val="32"/>
          <w:szCs w:val="32"/>
        </w:rPr>
      </w:pPr>
      <w:r>
        <w:rPr>
          <w:rFonts w:hint="eastAsia" w:ascii="仿宋" w:hAnsi="仿宋" w:eastAsia="仿宋" w:cs="仿宋"/>
          <w:sz w:val="32"/>
          <w:szCs w:val="32"/>
        </w:rPr>
        <w:t>本项目是保障中心数据及媒资底座持续运行的基础性续费项目，主要对支撑传播数据管理和内容素材管理的数据及媒资底座资源进行续费，总预算</w:t>
      </w:r>
      <w:r>
        <w:rPr>
          <w:rFonts w:hint="eastAsia" w:ascii="仿宋" w:hAnsi="仿宋" w:eastAsia="仿宋" w:cs="仿宋"/>
          <w:sz w:val="32"/>
          <w:szCs w:val="32"/>
          <w:lang w:eastAsia="zh-CN"/>
        </w:rPr>
        <w:t>48万</w:t>
      </w:r>
      <w:r>
        <w:rPr>
          <w:rFonts w:hint="eastAsia" w:ascii="仿宋" w:hAnsi="仿宋" w:eastAsia="仿宋" w:cs="仿宋"/>
          <w:sz w:val="32"/>
          <w:szCs w:val="32"/>
        </w:rPr>
        <w:t>元。项目需求明确，预算合理，风险可控，是维持中心传播效果分析和内容资产管理等核心功能不中断的刚性需求。建议通过专项资金审批，确保续费采购及时完成。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5C1FC520-C4F0-4F81-AE1B-54AEEAE279F3}"/>
  </w:font>
  <w:font w:name="仿宋">
    <w:panose1 w:val="02010609060101010101"/>
    <w:charset w:val="86"/>
    <w:family w:val="auto"/>
    <w:pitch w:val="default"/>
    <w:sig w:usb0="800002BF" w:usb1="38CF7CFA" w:usb2="00000016" w:usb3="00000000" w:csb0="00040001" w:csb1="00000000"/>
    <w:embedRegular r:id="rId2" w:fontKey="{DEFC2831-91EB-4CEC-B860-BB544C10E1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42E0B"/>
    <w:rsid w:val="02054F52"/>
    <w:rsid w:val="03E70DB3"/>
    <w:rsid w:val="03E868D9"/>
    <w:rsid w:val="058B7F13"/>
    <w:rsid w:val="089B6724"/>
    <w:rsid w:val="0D0A78C0"/>
    <w:rsid w:val="0D49663A"/>
    <w:rsid w:val="0DCB34F3"/>
    <w:rsid w:val="0F9570F7"/>
    <w:rsid w:val="11C37D5E"/>
    <w:rsid w:val="13102630"/>
    <w:rsid w:val="145757D1"/>
    <w:rsid w:val="163F30C6"/>
    <w:rsid w:val="1E0428ED"/>
    <w:rsid w:val="224915FB"/>
    <w:rsid w:val="26492DAF"/>
    <w:rsid w:val="28CD7D64"/>
    <w:rsid w:val="2BCB18BB"/>
    <w:rsid w:val="2EC21951"/>
    <w:rsid w:val="2ED51684"/>
    <w:rsid w:val="305B7A00"/>
    <w:rsid w:val="309D2676"/>
    <w:rsid w:val="341E4314"/>
    <w:rsid w:val="36B14785"/>
    <w:rsid w:val="37873738"/>
    <w:rsid w:val="38876A6E"/>
    <w:rsid w:val="39FA6978"/>
    <w:rsid w:val="3A1C1C2B"/>
    <w:rsid w:val="3C355E58"/>
    <w:rsid w:val="3DD76E93"/>
    <w:rsid w:val="3EDE27D7"/>
    <w:rsid w:val="42947BAE"/>
    <w:rsid w:val="43DB4418"/>
    <w:rsid w:val="44223166"/>
    <w:rsid w:val="459712D5"/>
    <w:rsid w:val="469A3487"/>
    <w:rsid w:val="47864F63"/>
    <w:rsid w:val="4C0B7195"/>
    <w:rsid w:val="536250BD"/>
    <w:rsid w:val="5378702A"/>
    <w:rsid w:val="53A76A96"/>
    <w:rsid w:val="58AE0527"/>
    <w:rsid w:val="5AC908A4"/>
    <w:rsid w:val="5D0C0A2F"/>
    <w:rsid w:val="5EF84D97"/>
    <w:rsid w:val="607466A0"/>
    <w:rsid w:val="615D5386"/>
    <w:rsid w:val="61B9080E"/>
    <w:rsid w:val="64AD140A"/>
    <w:rsid w:val="66F05423"/>
    <w:rsid w:val="68515E6A"/>
    <w:rsid w:val="68604A70"/>
    <w:rsid w:val="6AE8713D"/>
    <w:rsid w:val="6CF546C4"/>
    <w:rsid w:val="6DA04C9D"/>
    <w:rsid w:val="731C0BFD"/>
    <w:rsid w:val="73277F63"/>
    <w:rsid w:val="762F50EB"/>
    <w:rsid w:val="76571F4C"/>
    <w:rsid w:val="79AB4A88"/>
    <w:rsid w:val="7A811C8D"/>
    <w:rsid w:val="7C0E57A2"/>
    <w:rsid w:val="7CC86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2852</Words>
  <Characters>2907</Characters>
  <Lines>0</Lines>
  <Paragraphs>0</Paragraphs>
  <TotalTime>23</TotalTime>
  <ScaleCrop>false</ScaleCrop>
  <LinksUpToDate>false</LinksUpToDate>
  <CharactersWithSpaces>2911</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2026-05-09T09:13:00Z</dcterms:created>
  <dc:creator>Administrator</dc:creator>
  <cp:lastModifiedBy>leo</cp:lastModifiedBy>
  <dcterms:modified xsi:type="dcterms:W3CDTF">2026-05-10T13:01:01Z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eyJoZGlkIjoiZDEzNmNhNTgxYmUzMDFiZmZiYTQzNzk5MjQwZTk2NWYiLCJ1c2VySWQiOiI1Njg3ODIwNzkifQ==</vt:lpwstr>
  </property>
  <property fmtid="{D5CDD505-2E9C-101B-9397-08002B2CF9AE}" pid="4" name="ICV">
    <vt:lpwstr>09332D41573B4F0983DFC3CDE6383D00_12</vt:lpwstr>
  </property>
</Properties>
</file>