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76972">
      <w:pPr>
        <w:jc w:val="center"/>
        <w:rPr>
          <w:rFonts w:hint="eastAsia" w:ascii="方正公文小标宋" w:hAnsi="方正公文小标宋" w:eastAsia="方正公文小标宋" w:cs="方正公文小标宋"/>
          <w:sz w:val="44"/>
          <w:szCs w:val="44"/>
        </w:rPr>
      </w:pPr>
      <w:r>
        <w:rPr>
          <w:rFonts w:hint="eastAsia" w:ascii="方正公文小标宋" w:hAnsi="方正公文小标宋" w:eastAsia="方正公文小标宋" w:cs="方正公文小标宋"/>
          <w:sz w:val="44"/>
          <w:szCs w:val="44"/>
        </w:rPr>
        <w:t>研发AI产品资源续费项目可行性研究报告</w:t>
      </w:r>
    </w:p>
    <w:p w14:paraId="7D53F44E">
      <w:pPr>
        <w:jc w:val="center"/>
        <w:rPr>
          <w:rFonts w:hint="eastAsia" w:ascii="方正公文小标宋" w:hAnsi="方正公文小标宋" w:eastAsia="方正公文小标宋" w:cs="方正公文小标宋"/>
          <w:sz w:val="44"/>
          <w:szCs w:val="44"/>
        </w:rPr>
      </w:pPr>
    </w:p>
    <w:p w14:paraId="579E8F63">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一、项目概述</w:t>
      </w:r>
    </w:p>
    <w:p w14:paraId="273B09E4">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（一）项目基本信息</w:t>
      </w:r>
    </w:p>
    <w:p w14:paraId="7B178921">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项目名称：研发AI产品资源续费项目</w:t>
      </w:r>
    </w:p>
    <w:p w14:paraId="63C3C9B8">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申报单位：数字媒体研发部</w:t>
      </w:r>
    </w:p>
    <w:p w14:paraId="3BA8841D">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单位地址：昆明市丹霞路新闻中心</w:t>
      </w:r>
    </w:p>
    <w:p w14:paraId="23C68371">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项目起止年限：2026年1月 - 2026年12月</w:t>
      </w:r>
    </w:p>
    <w:p w14:paraId="4F7C7712">
      <w:pPr>
        <w:ind w:firstLine="640" w:firstLineChars="200"/>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rPr>
        <w:t>项目负责人：</w:t>
      </w:r>
      <w:r>
        <w:rPr>
          <w:rFonts w:hint="eastAsia" w:ascii="仿宋" w:hAnsi="仿宋" w:eastAsia="仿宋" w:cs="仿宋"/>
          <w:b w:val="0"/>
          <w:bCs w:val="0"/>
          <w:sz w:val="32"/>
          <w:szCs w:val="32"/>
          <w:lang w:val="en-US" w:eastAsia="zh-CN"/>
        </w:rPr>
        <w:t>李国山（电话：13678722462）</w:t>
      </w:r>
    </w:p>
    <w:p w14:paraId="4367A0EC">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申请资金：26万元</w:t>
      </w:r>
    </w:p>
    <w:p w14:paraId="41CE623A">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（二）项目背景与必要性</w:t>
      </w:r>
    </w:p>
    <w:p w14:paraId="41F91E04">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昆明市融媒体中心目前已建成并投入运行的AI辅助生产系统包括：市融技术平台采编AI生产助手、市融媒资库AI助手等。上述系统为采编人员提供AI辅助写作、智能标题生成、采访录音转文字、智能配音、媒资素材自动分类打标签和智能检索等功能，是中心已建成的重要AI辅助生产能力。</w:t>
      </w:r>
    </w:p>
    <w:p w14:paraId="535A4983">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上述系统的正常运行依赖于研发软件授权、AI API服务资源和媒资AI处理资源。研发软件授权为中心技术和项目创新性研究提供软件授权及服务；AI API服务资源提供视频理解、视频生成、图片生成、内容打标、智能字幕、语音识别、文字识别、语音合成等能力；媒资AI处理资源提供视频封面图获取、图片水印、智能标签、视频拆条、图片压缩等功能。以上资源均需向服务商按年续费，部门已在2026年公共支撑预算中申报该项预算，多次沟通后仍被削减，目前无任何费用支撑项目运转。</w:t>
      </w:r>
    </w:p>
    <w:p w14:paraId="77AFC702">
      <w:pPr>
        <w:ind w:firstLine="640" w:firstLineChars="200"/>
        <w:rPr>
          <w:rFonts w:hint="eastAsia" w:ascii="仿宋" w:hAnsi="仿宋" w:eastAsia="仿宋" w:cs="仿宋"/>
          <w:b w:val="0"/>
          <w:bCs w:val="0"/>
          <w:sz w:val="32"/>
          <w:szCs w:val="32"/>
        </w:rPr>
      </w:pPr>
      <w:bookmarkStart w:id="0" w:name="_GoBack"/>
      <w:r>
        <w:rPr>
          <w:rFonts w:hint="eastAsia" w:ascii="仿宋" w:hAnsi="仿宋" w:eastAsia="仿宋" w:cs="仿宋"/>
          <w:b w:val="0"/>
          <w:bCs w:val="0"/>
          <w:sz w:val="32"/>
          <w:szCs w:val="32"/>
        </w:rPr>
        <w:t>若不能及时续费，研发软件授权到期将影响中心技术研发和项目创新工作的正常开展；AI API服务资源停用将使视频理解、图片生成、语音识别、语音合成等功能无法使用；媒资AI处理资源中断将使新入库素材无法自动打标签和分类，历史素材的复用率降低。上述情况将导致已建成的AI辅助生产工具停摆，已投入建设的AI能力无法继续使用，采编和媒资业务效率将显著下降。</w:t>
      </w:r>
      <w:bookmarkEnd w:id="0"/>
    </w:p>
    <w:p w14:paraId="19CC12C7">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本项目非新建项目，是为保障研发AI产品资源的续费，维持各AI辅助生产系统的正常运行，确保已建成的AI能力持续发挥作用的刚性需求。</w:t>
      </w:r>
    </w:p>
    <w:p w14:paraId="6ADC90B6">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二、资源现状与续费内容</w:t>
      </w:r>
    </w:p>
    <w:p w14:paraId="0073822F">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（一）总体说明</w:t>
      </w:r>
    </w:p>
    <w:p w14:paraId="3D69187C">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本项目续费资源涵盖研发软件授权、AI API服务资源和媒资AI处理资源三类，各类资源均以续费方式向服务商进行充值续费，以维持各项服务持续有效。</w:t>
      </w:r>
    </w:p>
    <w:p w14:paraId="5D08EE34">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（二）研发软件授权</w:t>
      </w:r>
    </w:p>
    <w:p w14:paraId="514AC7E9">
      <w:pPr>
        <w:ind w:firstLine="640" w:firstLineChars="200"/>
        <w:rPr>
          <w:rFonts w:hint="eastAsia" w:ascii="仿宋" w:hAnsi="仿宋" w:eastAsia="仿宋" w:cs="仿宋"/>
          <w:b/>
          <w:bCs/>
          <w:sz w:val="32"/>
          <w:szCs w:val="32"/>
        </w:rPr>
      </w:pPr>
      <w:r>
        <w:rPr>
          <w:rFonts w:hint="eastAsia" w:ascii="仿宋" w:hAnsi="仿宋" w:eastAsia="仿宋" w:cs="仿宋"/>
          <w:b w:val="0"/>
          <w:bCs w:val="0"/>
          <w:sz w:val="32"/>
          <w:szCs w:val="32"/>
        </w:rPr>
        <w:t>研发软件授权为中心技术和项目创新性研究提供所需的重要软件授权及服务。</w:t>
      </w:r>
      <w:r>
        <w:rPr>
          <w:rFonts w:hint="eastAsia" w:ascii="仿宋" w:hAnsi="仿宋" w:eastAsia="仿宋" w:cs="仿宋"/>
          <w:b/>
          <w:bCs/>
          <w:sz w:val="32"/>
          <w:szCs w:val="32"/>
        </w:rPr>
        <w:t>若停止续费，相关软件授权失效，将影响中心技术研发和项目创新工作的正常开展。</w:t>
      </w:r>
    </w:p>
    <w:p w14:paraId="5453DEED">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（三）AI API服务资源</w:t>
      </w:r>
    </w:p>
    <w:p w14:paraId="18B0DECB">
      <w:pPr>
        <w:ind w:firstLine="640" w:firstLineChars="200"/>
        <w:rPr>
          <w:rFonts w:hint="eastAsia" w:ascii="仿宋" w:hAnsi="仿宋" w:eastAsia="仿宋" w:cs="仿宋"/>
          <w:b/>
          <w:bCs/>
          <w:sz w:val="32"/>
          <w:szCs w:val="32"/>
        </w:rPr>
      </w:pPr>
      <w:r>
        <w:rPr>
          <w:rFonts w:hint="eastAsia" w:ascii="仿宋" w:hAnsi="仿宋" w:eastAsia="仿宋" w:cs="仿宋"/>
          <w:b w:val="0"/>
          <w:bCs w:val="0"/>
          <w:sz w:val="32"/>
          <w:szCs w:val="32"/>
        </w:rPr>
        <w:t>AI API服务资源提供视频理解、视频生成、图片生成、内容打标、智能字幕、语音识别、文字识别、语音合成等功能。这些服务统一通过融媒AI平台为采编和媒资业务提供AI辅助能力。</w:t>
      </w:r>
      <w:r>
        <w:rPr>
          <w:rFonts w:hint="eastAsia" w:ascii="仿宋" w:hAnsi="仿宋" w:eastAsia="仿宋" w:cs="仿宋"/>
          <w:b/>
          <w:bCs/>
          <w:sz w:val="32"/>
          <w:szCs w:val="32"/>
        </w:rPr>
        <w:t>若停止续费，AI辅助写作、智能标题生成、采访录音转文字、智能配音、智能配图等功能将无法使用，已投入使用的AI工具停摆。</w:t>
      </w:r>
    </w:p>
    <w:p w14:paraId="201A8F95">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（四）媒资AI处理资源</w:t>
      </w:r>
    </w:p>
    <w:p w14:paraId="3A4AF078">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媒资AI处理资源包括视频封面图获取、图片水印、智能标签、视频拆条、图片压缩等。这些服务用于媒资库的内容自动标注、分类和检索，也提供给融媒AI平台作为素材加工基础能力。</w:t>
      </w:r>
      <w:r>
        <w:rPr>
          <w:rFonts w:hint="eastAsia" w:ascii="仿宋" w:hAnsi="仿宋" w:eastAsia="仿宋" w:cs="仿宋"/>
          <w:b/>
          <w:bCs/>
          <w:sz w:val="32"/>
          <w:szCs w:val="32"/>
        </w:rPr>
        <w:t>若停止续费，新入库素材无法自动打标签和分类，管理效率下降，历史素材的复用率降低。</w:t>
      </w:r>
    </w:p>
    <w:p w14:paraId="247E57D5">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综上，上述三类资源共同构成中心AI辅助生产和媒资智能处理的能力底座。研发软件授权是技术创新的工具支撑，AI API服务资源是AI辅助功能的核心能力，媒资AI处理资源是内容智能管理的基础保障。任何一类资源的断供，都将导致已建成的AI辅助生产能力停摆或效率下降。由于各类资源均按年度续费，到期即停止服务，无法通过内部调配或其他方式替代，因此及时续费是保障AI辅助生产系统持续运行的基本前提，具有完全的紧迫性和必要性。</w:t>
      </w:r>
    </w:p>
    <w:p w14:paraId="065CE6C5">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三、实施进度安排</w:t>
      </w:r>
    </w:p>
    <w:p w14:paraId="18AD5C00">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本项目为服务续费采购项目，主要工作是在资源耗尽前完成续费流程，保障服务不中断。</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86"/>
        <w:gridCol w:w="2213"/>
        <w:gridCol w:w="4323"/>
      </w:tblGrid>
      <w:tr w14:paraId="2543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vAlign w:val="top"/>
          </w:tcPr>
          <w:p w14:paraId="4DB50BAD">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b/>
                <w:bCs/>
                <w:color w:val="000000"/>
                <w:kern w:val="2"/>
                <w:sz w:val="28"/>
                <w:szCs w:val="28"/>
              </w:rPr>
            </w:pPr>
            <w:r>
              <w:rPr>
                <w:rFonts w:hint="eastAsia" w:ascii="仿宋" w:hAnsi="仿宋" w:eastAsia="仿宋" w:cs="仿宋"/>
                <w:b/>
                <w:bCs/>
                <w:color w:val="000000"/>
                <w:kern w:val="2"/>
                <w:sz w:val="28"/>
                <w:szCs w:val="28"/>
                <w:lang w:val="en-US" w:eastAsia="zh-CN" w:bidi="ar"/>
              </w:rPr>
              <w:t>阶段</w:t>
            </w:r>
          </w:p>
        </w:tc>
        <w:tc>
          <w:tcPr>
            <w:tcW w:w="2213" w:type="dxa"/>
            <w:tcBorders>
              <w:top w:val="single" w:color="auto" w:sz="4" w:space="0"/>
              <w:left w:val="single" w:color="auto" w:sz="4" w:space="0"/>
              <w:bottom w:val="single" w:color="auto" w:sz="4" w:space="0"/>
              <w:right w:val="single" w:color="auto" w:sz="4" w:space="0"/>
            </w:tcBorders>
            <w:shd w:val="clear" w:color="auto" w:fill="auto"/>
            <w:vAlign w:val="top"/>
          </w:tcPr>
          <w:p w14:paraId="72B07BB6">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b/>
                <w:bCs/>
                <w:color w:val="000000"/>
                <w:kern w:val="2"/>
                <w:sz w:val="28"/>
                <w:szCs w:val="28"/>
              </w:rPr>
            </w:pPr>
            <w:r>
              <w:rPr>
                <w:rFonts w:hint="eastAsia" w:ascii="仿宋" w:hAnsi="仿宋" w:eastAsia="仿宋" w:cs="仿宋"/>
                <w:b/>
                <w:bCs/>
                <w:color w:val="000000"/>
                <w:kern w:val="2"/>
                <w:sz w:val="28"/>
                <w:szCs w:val="28"/>
                <w:lang w:val="en-US" w:eastAsia="zh-CN" w:bidi="ar"/>
              </w:rPr>
              <w:t>时间范围</w:t>
            </w:r>
          </w:p>
        </w:tc>
        <w:tc>
          <w:tcPr>
            <w:tcW w:w="4323" w:type="dxa"/>
            <w:tcBorders>
              <w:top w:val="single" w:color="auto" w:sz="4" w:space="0"/>
              <w:left w:val="single" w:color="auto" w:sz="4" w:space="0"/>
              <w:bottom w:val="single" w:color="auto" w:sz="4" w:space="0"/>
              <w:right w:val="single" w:color="auto" w:sz="4" w:space="0"/>
            </w:tcBorders>
            <w:shd w:val="clear" w:color="auto" w:fill="auto"/>
            <w:vAlign w:val="top"/>
          </w:tcPr>
          <w:p w14:paraId="40F57699">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b/>
                <w:bCs/>
                <w:color w:val="000000"/>
                <w:kern w:val="2"/>
                <w:sz w:val="28"/>
                <w:szCs w:val="28"/>
              </w:rPr>
            </w:pPr>
            <w:r>
              <w:rPr>
                <w:rFonts w:hint="eastAsia" w:ascii="仿宋" w:hAnsi="仿宋" w:eastAsia="仿宋" w:cs="仿宋"/>
                <w:b/>
                <w:bCs/>
                <w:color w:val="000000"/>
                <w:kern w:val="2"/>
                <w:sz w:val="28"/>
                <w:szCs w:val="28"/>
                <w:lang w:val="en-US" w:eastAsia="zh-CN" w:bidi="ar"/>
              </w:rPr>
              <w:t>主要任务</w:t>
            </w:r>
          </w:p>
        </w:tc>
      </w:tr>
      <w:tr w14:paraId="37E5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vAlign w:val="top"/>
          </w:tcPr>
          <w:p w14:paraId="2860E9D7">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第一阶段：续费准备与采购启动</w:t>
            </w:r>
          </w:p>
        </w:tc>
        <w:tc>
          <w:tcPr>
            <w:tcW w:w="2213" w:type="dxa"/>
            <w:tcBorders>
              <w:top w:val="single" w:color="auto" w:sz="4" w:space="0"/>
              <w:left w:val="single" w:color="auto" w:sz="4" w:space="0"/>
              <w:bottom w:val="single" w:color="auto" w:sz="4" w:space="0"/>
              <w:right w:val="single" w:color="auto" w:sz="4" w:space="0"/>
            </w:tcBorders>
            <w:shd w:val="clear" w:color="auto" w:fill="auto"/>
            <w:vAlign w:val="top"/>
          </w:tcPr>
          <w:p w14:paraId="0C0F65B0">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第1-2个月（6-7月）</w:t>
            </w:r>
            <w:r>
              <w:rPr>
                <w:rFonts w:hint="eastAsia" w:ascii="仿宋" w:hAnsi="仿宋" w:eastAsia="仿宋" w:cs="仿宋"/>
                <w:color w:val="000000"/>
                <w:kern w:val="2"/>
                <w:sz w:val="28"/>
                <w:szCs w:val="28"/>
                <w:lang w:val="en-US" w:eastAsia="zh-CN" w:bidi="ar"/>
              </w:rPr>
              <w:tab/>
            </w:r>
          </w:p>
        </w:tc>
        <w:tc>
          <w:tcPr>
            <w:tcW w:w="4323" w:type="dxa"/>
            <w:tcBorders>
              <w:top w:val="single" w:color="auto" w:sz="4" w:space="0"/>
              <w:left w:val="single" w:color="auto" w:sz="4" w:space="0"/>
              <w:bottom w:val="single" w:color="auto" w:sz="4" w:space="0"/>
              <w:right w:val="single" w:color="auto" w:sz="4" w:space="0"/>
            </w:tcBorders>
            <w:shd w:val="clear" w:color="auto" w:fill="auto"/>
            <w:vAlign w:val="top"/>
          </w:tcPr>
          <w:p w14:paraId="79946C60">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rPr>
              <w:t>汇总现有各类资源的到期时间，编制续费清单；确定各项资源的续费规格和计费方式；编制采购文件并启动采购程序</w:t>
            </w:r>
          </w:p>
        </w:tc>
      </w:tr>
      <w:tr w14:paraId="7780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vAlign w:val="top"/>
          </w:tcPr>
          <w:p w14:paraId="6B14BA1F">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第二阶段：采购执行与合同签订</w:t>
            </w:r>
          </w:p>
        </w:tc>
        <w:tc>
          <w:tcPr>
            <w:tcW w:w="2213" w:type="dxa"/>
            <w:tcBorders>
              <w:top w:val="single" w:color="auto" w:sz="4" w:space="0"/>
              <w:left w:val="single" w:color="auto" w:sz="4" w:space="0"/>
              <w:bottom w:val="single" w:color="auto" w:sz="4" w:space="0"/>
              <w:right w:val="single" w:color="auto" w:sz="4" w:space="0"/>
            </w:tcBorders>
            <w:shd w:val="clear" w:color="auto" w:fill="auto"/>
            <w:vAlign w:val="top"/>
          </w:tcPr>
          <w:p w14:paraId="335997F6">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第2个月（7月）</w:t>
            </w:r>
          </w:p>
        </w:tc>
        <w:tc>
          <w:tcPr>
            <w:tcW w:w="4323" w:type="dxa"/>
            <w:tcBorders>
              <w:top w:val="single" w:color="auto" w:sz="4" w:space="0"/>
              <w:left w:val="single" w:color="auto" w:sz="4" w:space="0"/>
              <w:bottom w:val="single" w:color="auto" w:sz="4" w:space="0"/>
              <w:right w:val="single" w:color="auto" w:sz="4" w:space="0"/>
            </w:tcBorders>
            <w:shd w:val="clear" w:color="auto" w:fill="auto"/>
            <w:vAlign w:val="top"/>
          </w:tcPr>
          <w:p w14:paraId="0C145B0E">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rPr>
              <w:t>完成供应商选择与商务谈判；签订研发软件授权、AI API服务和媒资AI处理资源续费合同；确保新合同起止时间与现有合同到期时间衔接</w:t>
            </w:r>
          </w:p>
        </w:tc>
      </w:tr>
      <w:tr w14:paraId="6585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vAlign w:val="top"/>
          </w:tcPr>
          <w:p w14:paraId="69B2BE26">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第三阶段：续费确认与过渡验证</w:t>
            </w:r>
          </w:p>
        </w:tc>
        <w:tc>
          <w:tcPr>
            <w:tcW w:w="2213" w:type="dxa"/>
            <w:tcBorders>
              <w:top w:val="single" w:color="auto" w:sz="4" w:space="0"/>
              <w:left w:val="single" w:color="auto" w:sz="4" w:space="0"/>
              <w:bottom w:val="single" w:color="auto" w:sz="4" w:space="0"/>
              <w:right w:val="single" w:color="auto" w:sz="4" w:space="0"/>
            </w:tcBorders>
            <w:shd w:val="clear" w:color="auto" w:fill="auto"/>
            <w:vAlign w:val="top"/>
          </w:tcPr>
          <w:p w14:paraId="52F6C1EB">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第2-3个月（7-8月）</w:t>
            </w:r>
          </w:p>
        </w:tc>
        <w:tc>
          <w:tcPr>
            <w:tcW w:w="4323" w:type="dxa"/>
            <w:tcBorders>
              <w:top w:val="single" w:color="auto" w:sz="4" w:space="0"/>
              <w:left w:val="single" w:color="auto" w:sz="4" w:space="0"/>
              <w:bottom w:val="single" w:color="auto" w:sz="4" w:space="0"/>
              <w:right w:val="single" w:color="auto" w:sz="4" w:space="0"/>
            </w:tcBorders>
            <w:shd w:val="clear" w:color="auto" w:fill="auto"/>
            <w:vAlign w:val="top"/>
          </w:tcPr>
          <w:p w14:paraId="766B064E">
            <w:pPr>
              <w:keepNext w:val="0"/>
              <w:keepLines w:val="0"/>
              <w:widowControl w:val="0"/>
              <w:suppressLineNumbers w:val="0"/>
              <w:autoSpaceDE w:val="0"/>
              <w:autoSpaceDN/>
              <w:spacing w:before="0" w:beforeAutospacing="0" w:after="0" w:afterAutospacing="0" w:line="580" w:lineRule="exact"/>
              <w:ind w:left="0" w:leftChars="0" w:right="0" w:rightChars="0"/>
              <w:jc w:val="both"/>
              <w:rPr>
                <w:rFonts w:hint="eastAsia" w:ascii="仿宋" w:hAnsi="仿宋" w:eastAsia="仿宋" w:cs="仿宋"/>
                <w:color w:val="000000"/>
                <w:kern w:val="2"/>
                <w:sz w:val="28"/>
                <w:szCs w:val="28"/>
                <w:lang w:val="en-US" w:eastAsia="zh-CN" w:bidi="ar-SA"/>
              </w:rPr>
            </w:pPr>
            <w:r>
              <w:rPr>
                <w:rFonts w:hint="eastAsia" w:ascii="仿宋" w:hAnsi="仿宋" w:eastAsia="仿宋" w:cs="仿宋"/>
                <w:color w:val="000000"/>
                <w:kern w:val="2"/>
                <w:sz w:val="28"/>
                <w:szCs w:val="28"/>
                <w:lang w:val="en-US" w:eastAsia="zh-CN" w:bidi="ar"/>
              </w:rPr>
              <w:t>完成各项资源的续费支付和配置确认；逐一核验AI生产助手和媒资AI助手的功能状态；确认AI API服务和媒资处理服务正常，确保过渡期无中断</w:t>
            </w:r>
          </w:p>
        </w:tc>
      </w:tr>
      <w:tr w14:paraId="6127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vAlign w:val="top"/>
          </w:tcPr>
          <w:p w14:paraId="7A573D53">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第四阶段：运行监控与项目验收</w:t>
            </w:r>
          </w:p>
        </w:tc>
        <w:tc>
          <w:tcPr>
            <w:tcW w:w="2213" w:type="dxa"/>
            <w:tcBorders>
              <w:top w:val="single" w:color="auto" w:sz="4" w:space="0"/>
              <w:left w:val="single" w:color="auto" w:sz="4" w:space="0"/>
              <w:bottom w:val="single" w:color="auto" w:sz="4" w:space="0"/>
              <w:right w:val="single" w:color="auto" w:sz="4" w:space="0"/>
            </w:tcBorders>
            <w:shd w:val="clear" w:color="auto" w:fill="auto"/>
            <w:vAlign w:val="top"/>
          </w:tcPr>
          <w:p w14:paraId="0234FB46">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第2-7个月</w:t>
            </w:r>
          </w:p>
          <w:p w14:paraId="06647711">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（7-12月）</w:t>
            </w:r>
          </w:p>
        </w:tc>
        <w:tc>
          <w:tcPr>
            <w:tcW w:w="4323" w:type="dxa"/>
            <w:tcBorders>
              <w:top w:val="single" w:color="auto" w:sz="4" w:space="0"/>
              <w:left w:val="single" w:color="auto" w:sz="4" w:space="0"/>
              <w:bottom w:val="single" w:color="auto" w:sz="4" w:space="0"/>
              <w:right w:val="single" w:color="auto" w:sz="4" w:space="0"/>
            </w:tcBorders>
            <w:shd w:val="clear" w:color="auto" w:fill="auto"/>
            <w:vAlign w:val="top"/>
          </w:tcPr>
          <w:p w14:paraId="0F6B9CA6">
            <w:pPr>
              <w:keepNext w:val="0"/>
              <w:keepLines w:val="0"/>
              <w:widowControl w:val="0"/>
              <w:suppressLineNumbers w:val="0"/>
              <w:autoSpaceDE w:val="0"/>
              <w:autoSpaceDN/>
              <w:spacing w:before="0" w:beforeAutospacing="0" w:after="0" w:afterAutospacing="0" w:line="580" w:lineRule="exact"/>
              <w:ind w:left="0" w:right="0"/>
              <w:jc w:val="both"/>
              <w:rPr>
                <w:rFonts w:hint="eastAsia" w:ascii="仿宋" w:hAnsi="仿宋" w:eastAsia="仿宋" w:cs="仿宋"/>
                <w:color w:val="000000"/>
                <w:kern w:val="2"/>
                <w:sz w:val="28"/>
                <w:szCs w:val="28"/>
              </w:rPr>
            </w:pPr>
            <w:r>
              <w:rPr>
                <w:rFonts w:hint="eastAsia" w:ascii="仿宋" w:hAnsi="仿宋" w:eastAsia="仿宋" w:cs="仿宋"/>
                <w:color w:val="000000"/>
                <w:kern w:val="2"/>
                <w:sz w:val="28"/>
                <w:szCs w:val="28"/>
                <w:lang w:val="en-US" w:eastAsia="zh-CN" w:bidi="ar"/>
              </w:rPr>
              <w:t>持续监控各类资源运行质量，确认AI辅助功能正常可用；完成项目验收和资料归档</w:t>
            </w:r>
          </w:p>
        </w:tc>
      </w:tr>
    </w:tbl>
    <w:p w14:paraId="42273C96">
      <w:pPr>
        <w:ind w:firstLine="640" w:firstLineChars="200"/>
        <w:rPr>
          <w:rFonts w:hint="eastAsia" w:ascii="仿宋" w:hAnsi="仿宋" w:eastAsia="仿宋" w:cs="仿宋"/>
          <w:b w:val="0"/>
          <w:bCs w:val="0"/>
          <w:sz w:val="32"/>
          <w:szCs w:val="32"/>
        </w:rPr>
      </w:pPr>
    </w:p>
    <w:p w14:paraId="6FC1E69D">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四、资金预算与筹措</w:t>
      </w:r>
    </w:p>
    <w:p w14:paraId="115F25B9">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（一）总投资与资金用途</w:t>
      </w:r>
    </w:p>
    <w:p w14:paraId="749D5330">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项目总投资26万元，全部申请专项资金支持。预算按资源类型分配如下：</w:t>
      </w:r>
    </w:p>
    <w:tbl>
      <w:tblPr>
        <w:tblStyle w:val="3"/>
        <w:tblW w:w="925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43"/>
        <w:gridCol w:w="1721"/>
        <w:gridCol w:w="5794"/>
      </w:tblGrid>
      <w:tr w14:paraId="63189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1743" w:type="dxa"/>
            <w:tcBorders>
              <w:top w:val="single" w:color="000000" w:sz="4" w:space="0"/>
              <w:left w:val="single" w:color="000000" w:sz="4" w:space="0"/>
              <w:bottom w:val="single" w:color="000000" w:sz="4" w:space="0"/>
              <w:right w:val="single" w:color="000000" w:sz="4" w:space="0"/>
            </w:tcBorders>
            <w:shd w:val="clear" w:color="auto" w:fill="auto"/>
            <w:vAlign w:val="top"/>
          </w:tcPr>
          <w:p w14:paraId="70F919EA">
            <w:pPr>
              <w:keepNext w:val="0"/>
              <w:keepLines w:val="0"/>
              <w:widowControl/>
              <w:suppressLineNumbers w:val="0"/>
              <w:jc w:val="center"/>
              <w:textAlignment w:val="top"/>
              <w:rPr>
                <w:rFonts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类别</w:t>
            </w:r>
          </w:p>
        </w:tc>
        <w:tc>
          <w:tcPr>
            <w:tcW w:w="1721" w:type="dxa"/>
            <w:tcBorders>
              <w:top w:val="single" w:color="000000" w:sz="4" w:space="0"/>
              <w:left w:val="single" w:color="000000" w:sz="4" w:space="0"/>
              <w:bottom w:val="single" w:color="000000" w:sz="4" w:space="0"/>
              <w:right w:val="single" w:color="000000" w:sz="4" w:space="0"/>
            </w:tcBorders>
            <w:shd w:val="clear" w:color="auto" w:fill="auto"/>
            <w:vAlign w:val="top"/>
          </w:tcPr>
          <w:p w14:paraId="67C81DEC">
            <w:pPr>
              <w:keepNext w:val="0"/>
              <w:keepLines w:val="0"/>
              <w:widowControl/>
              <w:suppressLineNumbers w:val="0"/>
              <w:jc w:val="center"/>
              <w:textAlignment w:val="top"/>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金额（万元）</w:t>
            </w:r>
          </w:p>
        </w:tc>
        <w:tc>
          <w:tcPr>
            <w:tcW w:w="5794" w:type="dxa"/>
            <w:tcBorders>
              <w:top w:val="single" w:color="000000" w:sz="4" w:space="0"/>
              <w:left w:val="single" w:color="000000" w:sz="4" w:space="0"/>
              <w:bottom w:val="single" w:color="000000" w:sz="4" w:space="0"/>
              <w:right w:val="single" w:color="000000" w:sz="4" w:space="0"/>
            </w:tcBorders>
            <w:shd w:val="clear" w:color="auto" w:fill="auto"/>
            <w:vAlign w:val="top"/>
          </w:tcPr>
          <w:p w14:paraId="3BAD4172">
            <w:pPr>
              <w:keepNext w:val="0"/>
              <w:keepLines w:val="0"/>
              <w:widowControl/>
              <w:suppressLineNumbers w:val="0"/>
              <w:jc w:val="center"/>
              <w:textAlignment w:val="top"/>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主要用途</w:t>
            </w:r>
          </w:p>
        </w:tc>
      </w:tr>
      <w:tr w14:paraId="49C66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8C84C">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研发软件授权</w:t>
            </w:r>
          </w:p>
        </w:tc>
        <w:tc>
          <w:tcPr>
            <w:tcW w:w="1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DBD28">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8</w:t>
            </w:r>
          </w:p>
        </w:tc>
        <w:tc>
          <w:tcPr>
            <w:tcW w:w="57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815AE">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中心技术、项目创新性研究所需重要软件授权及服务。</w:t>
            </w:r>
          </w:p>
        </w:tc>
      </w:tr>
      <w:tr w14:paraId="71CAF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5" w:hRule="atLeast"/>
        </w:trPr>
        <w:tc>
          <w:tcPr>
            <w:tcW w:w="1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DFF4B">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AI API服务资源</w:t>
            </w:r>
          </w:p>
        </w:tc>
        <w:tc>
          <w:tcPr>
            <w:tcW w:w="1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85AB2">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11</w:t>
            </w:r>
          </w:p>
        </w:tc>
        <w:tc>
          <w:tcPr>
            <w:tcW w:w="57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70A84">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使用AI平台提供的成熟AI API服务，快速实现视频理解、视频生成、图片生成、内容打标、智能字幕、语音识别、文字识别、语音合成等功能</w:t>
            </w:r>
          </w:p>
        </w:tc>
      </w:tr>
      <w:tr w14:paraId="6EE17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0" w:hRule="atLeast"/>
        </w:trPr>
        <w:tc>
          <w:tcPr>
            <w:tcW w:w="17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1452E">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媒资AI处理资源</w:t>
            </w:r>
          </w:p>
        </w:tc>
        <w:tc>
          <w:tcPr>
            <w:tcW w:w="1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D47EA">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7</w:t>
            </w:r>
          </w:p>
        </w:tc>
        <w:tc>
          <w:tcPr>
            <w:tcW w:w="57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E8EA33">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数据中心、媒资库等两台视频封面图、图片水印、智能标签、视频拆条、图片压缩、域名、短信等</w:t>
            </w:r>
          </w:p>
        </w:tc>
      </w:tr>
      <w:tr w14:paraId="4740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7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72497">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合计</w:t>
            </w:r>
          </w:p>
        </w:tc>
        <w:tc>
          <w:tcPr>
            <w:tcW w:w="1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665D5">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26</w:t>
            </w:r>
          </w:p>
        </w:tc>
        <w:tc>
          <w:tcPr>
            <w:tcW w:w="57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E375B">
            <w:pPr>
              <w:jc w:val="left"/>
              <w:rPr>
                <w:rFonts w:hint="eastAsia" w:ascii="仿宋" w:hAnsi="仿宋" w:eastAsia="仿宋" w:cs="仿宋"/>
                <w:i w:val="0"/>
                <w:iCs w:val="0"/>
                <w:color w:val="000000"/>
                <w:sz w:val="28"/>
                <w:szCs w:val="28"/>
                <w:u w:val="none"/>
              </w:rPr>
            </w:pPr>
          </w:p>
        </w:tc>
      </w:tr>
    </w:tbl>
    <w:p w14:paraId="34613B80">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（二）资金筹措方案</w:t>
      </w:r>
    </w:p>
    <w:p w14:paraId="17CA7246">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申请专项资金：26万元（占比100%）</w:t>
      </w:r>
    </w:p>
    <w:p w14:paraId="7C69B298">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已到位资金、银行贷款及其他资金：0万元</w:t>
      </w:r>
    </w:p>
    <w:p w14:paraId="6327E7FF">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五、效益分析</w:t>
      </w:r>
    </w:p>
    <w:p w14:paraId="29D43859">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（一）经济效益</w:t>
      </w:r>
    </w:p>
    <w:p w14:paraId="5ED5496D">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通过续费保障研发软件授权、AI API服务和媒资AI处理资源的持续供应，维持现有AI辅助生产能力，减少因工具停用后重新启动所需的时间和人力成本。媒资AI处理资源的续费可维持内容自动标注和智能检索功能，保障媒资库素材的管理和复用效率。</w:t>
      </w:r>
    </w:p>
    <w:p w14:paraId="5E987D81">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（二）社会效益</w:t>
      </w:r>
    </w:p>
    <w:p w14:paraId="62DF4F0D">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保障采编AI生产助手和媒资AI助手的正常运行，支撑记者和编辑继续使用AI辅助写作、智能标题生成、录音转文字、智能配音等功能，维持中心已建成的AI辅助生产能力，为日常采编工作提供工具支撑。</w:t>
      </w:r>
    </w:p>
    <w:p w14:paraId="62A3A65B">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（三）可持续影响</w:t>
      </w:r>
    </w:p>
    <w:p w14:paraId="5F49D310">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本次续费可保障中心AI辅助生产系统在未来一个服务周期内具备稳定的资源支撑，避免因资源断供导致已建成的AI能力停摆，保障前期建设成果能够持续发挥作用。</w:t>
      </w:r>
    </w:p>
    <w:p w14:paraId="0F75317A">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六、风险分析与应对</w:t>
      </w:r>
    </w:p>
    <w:p w14:paraId="31E909C7">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（一）资金风险</w:t>
      </w:r>
    </w:p>
    <w:p w14:paraId="6317614A">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风险点：资金未能及时到位，导致在资源到期前无法完成续费，AI服务资源被释放。</w:t>
      </w:r>
    </w:p>
    <w:p w14:paraId="1F3BBE79">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应对措施：提前启动采购程序，与财政部门保持沟通，确保资金审批与拨付进度匹配续费时间节点。必要时与供应商协商短期过渡方案。</w:t>
      </w:r>
    </w:p>
    <w:p w14:paraId="29BC1741">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（二）衔接风险</w:t>
      </w:r>
    </w:p>
    <w:p w14:paraId="71239637">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风险点：各类资源合同到期时间不完全一致，可能出现新老合同衔接空档。</w:t>
      </w:r>
    </w:p>
    <w:p w14:paraId="7BE3346B">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应对措施：建立合同到期预警台账，倒排采购计划，确保新合同生效不晚于旧合同到期。续费期间维持原有服务规格不变。</w:t>
      </w:r>
    </w:p>
    <w:p w14:paraId="3C0BA7D0">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（三）功能中断风险</w:t>
      </w:r>
    </w:p>
    <w:p w14:paraId="58B98FB5">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风险点：续费过渡期间，AI API服务或媒资处理服务到期，AI生产助手和媒资AI助手功能中断。</w:t>
      </w:r>
    </w:p>
    <w:p w14:paraId="465200CB">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应对措施：将AI API服务资源列为优先续保对象。过渡期间加强人工巡检，确认AI辅助功能正常可用。</w:t>
      </w:r>
    </w:p>
    <w:p w14:paraId="5A6A3F6E">
      <w:pPr>
        <w:ind w:firstLine="643" w:firstLineChars="200"/>
        <w:rPr>
          <w:rFonts w:hint="eastAsia" w:ascii="仿宋" w:hAnsi="仿宋" w:eastAsia="仿宋" w:cs="仿宋"/>
          <w:b/>
          <w:bCs/>
          <w:sz w:val="32"/>
          <w:szCs w:val="32"/>
        </w:rPr>
      </w:pPr>
      <w:r>
        <w:rPr>
          <w:rFonts w:hint="eastAsia" w:ascii="仿宋" w:hAnsi="仿宋" w:eastAsia="仿宋" w:cs="仿宋"/>
          <w:b/>
          <w:bCs/>
          <w:sz w:val="32"/>
          <w:szCs w:val="32"/>
        </w:rPr>
        <w:t>七、结论</w:t>
      </w:r>
    </w:p>
    <w:p w14:paraId="33A3099A">
      <w:pPr>
        <w:ind w:firstLine="640" w:firstLineChars="200"/>
        <w:rPr>
          <w:rFonts w:hint="eastAsia" w:ascii="仿宋" w:hAnsi="仿宋" w:eastAsia="仿宋" w:cs="仿宋"/>
          <w:b w:val="0"/>
          <w:bCs w:val="0"/>
          <w:sz w:val="32"/>
          <w:szCs w:val="32"/>
        </w:rPr>
      </w:pPr>
      <w:r>
        <w:rPr>
          <w:rFonts w:hint="eastAsia" w:ascii="仿宋" w:hAnsi="仿宋" w:eastAsia="仿宋" w:cs="仿宋"/>
          <w:b w:val="0"/>
          <w:bCs w:val="0"/>
          <w:sz w:val="32"/>
          <w:szCs w:val="32"/>
        </w:rPr>
        <w:t>本项目是保障中心AI辅助生产系统持续运行的基础性续费项目，主要对支撑采编AI生产助手和媒资AI助手的研发软件授权、AI API服务资源和媒资AI处理资源进行统一续费，总预算26万元。项目需求明确，预算合理，风险可控，是维持中心AI辅助生产和媒资智能处理等核心功能不中断的刚性需求。建议通过专项资金审批，确保续费采购及时完成。</w:t>
      </w:r>
    </w:p>
    <w:p w14:paraId="0089DC06">
      <w:pPr>
        <w:ind w:firstLine="640" w:firstLineChars="200"/>
        <w:rPr>
          <w:rFonts w:hint="eastAsia" w:ascii="仿宋" w:hAnsi="仿宋" w:eastAsia="仿宋" w:cs="仿宋"/>
          <w:b w:val="0"/>
          <w:bCs w:val="0"/>
          <w:sz w:val="32"/>
          <w:szCs w:val="32"/>
        </w:rPr>
      </w:pPr>
    </w:p>
    <w:p w14:paraId="47796077">
      <w:pPr>
        <w:ind w:firstLine="640" w:firstLineChars="200"/>
        <w:rPr>
          <w:rFonts w:hint="eastAsia" w:ascii="仿宋" w:hAnsi="仿宋" w:eastAsia="仿宋" w:cs="仿宋"/>
          <w:b w:val="0"/>
          <w:bCs w:val="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C27F0BEE-2E59-4670-A9A5-A1CA9EF75774}"/>
  </w:font>
  <w:font w:name="仿宋">
    <w:panose1 w:val="02010609060101010101"/>
    <w:charset w:val="86"/>
    <w:family w:val="auto"/>
    <w:pitch w:val="default"/>
    <w:sig w:usb0="800002BF" w:usb1="38CF7CFA" w:usb2="00000016" w:usb3="00000000" w:csb0="00040001" w:csb1="00000000"/>
    <w:embedRegular r:id="rId2" w:fontKey="{AFB88601-DD71-411E-A0AE-3468989944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42E0B"/>
    <w:rsid w:val="02325D31"/>
    <w:rsid w:val="03E70DB3"/>
    <w:rsid w:val="03FF60FC"/>
    <w:rsid w:val="0B995089"/>
    <w:rsid w:val="0D49663A"/>
    <w:rsid w:val="0F9570F7"/>
    <w:rsid w:val="13102630"/>
    <w:rsid w:val="180513B0"/>
    <w:rsid w:val="26454A0A"/>
    <w:rsid w:val="26492DAF"/>
    <w:rsid w:val="272C0707"/>
    <w:rsid w:val="2B9351F9"/>
    <w:rsid w:val="2ED51684"/>
    <w:rsid w:val="309D2676"/>
    <w:rsid w:val="30D00355"/>
    <w:rsid w:val="39FA6978"/>
    <w:rsid w:val="3A092B2A"/>
    <w:rsid w:val="3A2016BE"/>
    <w:rsid w:val="3C355E58"/>
    <w:rsid w:val="47864F63"/>
    <w:rsid w:val="478C7274"/>
    <w:rsid w:val="4C910458"/>
    <w:rsid w:val="54B108E2"/>
    <w:rsid w:val="58AE0527"/>
    <w:rsid w:val="607466A0"/>
    <w:rsid w:val="615D5386"/>
    <w:rsid w:val="660B4B4A"/>
    <w:rsid w:val="679909C4"/>
    <w:rsid w:val="6A0960AB"/>
    <w:rsid w:val="6F5E29F5"/>
    <w:rsid w:val="74F160B9"/>
    <w:rsid w:val="76571F4C"/>
    <w:rsid w:val="78C7160B"/>
    <w:rsid w:val="7A792DD8"/>
    <w:rsid w:val="7A811C8D"/>
    <w:rsid w:val="7D317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styleId="4">
    <w:name w:val="Table Grid"/>
    <w:basedOn w:val="3"/>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2691</Words>
  <Characters>2820</Characters>
  <Lines>1</Lines>
  <Paragraphs>1</Paragraphs>
  <TotalTime>1</TotalTime>
  <ScaleCrop>false</ScaleCrop>
  <LinksUpToDate>false</LinksUpToDate>
  <CharactersWithSpaces>2838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2026-05-09T09:13:00Z</dcterms:created>
  <dc:creator>Administrator</dc:creator>
  <cp:lastModifiedBy>leo</cp:lastModifiedBy>
  <dcterms:modified xsi:type="dcterms:W3CDTF">2026-05-09T10:01:31Z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eyJoZGlkIjoiMTIyYmVlOGFjYmVhOGZkZDM4NDBhNGM3ODViMjdjZDIiLCJ1c2VySWQiOiI1Njg3ODIwNzkifQ==</vt:lpwstr>
  </property>
  <property fmtid="{D5CDD505-2E9C-101B-9397-08002B2CF9AE}" pid="4" name="ICV">
    <vt:lpwstr>09332D41573B4F0983DFC3CDE6383D00_12</vt:lpwstr>
  </property>
</Properties>
</file>