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Times New Roman" w:cs="Times New Roman" w:eastAsia="Times New Roman" w:hAnsi="Times New Roman"/>
          <w:b/>
          <w:bCs/>
          <w:color w:val="1F3864"/>
          <w:sz w:val="36"/>
          <w:szCs w:val="36"/>
        </w:rPr>
        <w:t xml:space="preserve">Automation Tools and Startup Failure:</w:t>
      </w:r>
    </w:p>
    <w:p>
      <w:pPr>
        <w:spacing w:after="480" w:before="0"/>
        <w:jc w:val="center"/>
      </w:pPr>
      <w:r>
        <w:rPr>
          <w:rFonts w:ascii="Times New Roman" w:cs="Times New Roman" w:eastAsia="Times New Roman" w:hAnsi="Times New Roman"/>
          <w:i/>
          <w:iCs/>
          <w:color w:val="2E5090"/>
          <w:sz w:val="28"/>
          <w:szCs w:val="28"/>
        </w:rPr>
        <w:t xml:space="preserve">A Research Paper on AI, No-Code Platforms, and Entrepreneurial Resilience</w:t>
      </w:r>
    </w:p>
    <w:p>
      <w:pPr>
        <w:pStyle w:val="Heading1"/>
        <w:spacing w:after="120" w:before="360"/>
      </w:pPr>
      <w:r>
        <w:rPr>
          <w:rFonts w:ascii="Times New Roman" w:cs="Times New Roman" w:eastAsia="Times New Roman" w:hAnsi="Times New Roman"/>
          <w:b/>
          <w:bCs/>
          <w:color w:val="1F3864"/>
          <w:sz w:val="28"/>
          <w:szCs w:val="28"/>
        </w:rPr>
        <w:t xml:space="preserve">1. Introduction</w:t>
      </w:r>
    </w:p>
    <w:p>
      <w:pPr>
        <w:spacing w:after="160" w:before="0" w:line="360" w:lineRule="auto"/>
        <w:ind w:firstLine="720"/>
        <w:jc w:val="both"/>
      </w:pPr>
      <w:r>
        <w:rPr>
          <w:rFonts w:ascii="Times New Roman" w:cs="Times New Roman" w:eastAsia="Times New Roman" w:hAnsi="Times New Roman"/>
          <w:sz w:val="24"/>
          <w:szCs w:val="24"/>
        </w:rPr>
        <w:t xml:space="preserve">The global economy increasingly relies on entrepreneurship as a driver of innovation and job creation. Yet despite the tremendous potential of startups to transform industries and societies, the reality is sobering: approximately 70–90% of early-stage startups fail within their first five years of operation. This staggering failure rate represents not only a significant loss of capital and resources but also a missed opportunity for economic growth, technological breakthroughs, and employment. Understanding the factors that contribute to startup failure and identifying practical solutions has become a critical priority for entrepreneurs, investors, policymakers, and researchers alike.</w:t>
      </w:r>
    </w:p>
    <w:p>
      <w:pPr>
        <w:spacing w:after="160" w:before="0" w:line="360" w:lineRule="auto"/>
        <w:ind w:firstLine="720"/>
        <w:jc w:val="both"/>
      </w:pPr>
      <w:r>
        <w:rPr>
          <w:rFonts w:ascii="Times New Roman" w:cs="Times New Roman" w:eastAsia="Times New Roman" w:hAnsi="Times New Roman"/>
          <w:sz w:val="24"/>
          <w:szCs w:val="24"/>
        </w:rPr>
        <w:t xml:space="preserve">The causes of startup failure are multifaceted and interconnected. Research consistently identifies several key factors that contribute to startup collapse: lack of market need for products or services, poor management and decision-making, limited financial resources, inefficient operational processes, and weak marketing strategies. While some of these challenges are inherent to entrepreneurship, many are exacerbated by the resource constraints that characterise early-stage ventures. Founders often must juggle multiple roles simultaneously, lack specialised expertise in critical areas, and operate with minimal budgets and limited support systems. These operational bottlenecks not only drain resources but also slow product development cycles, delay market entry, and compromise the quality of decision-making—all factors that increase the likelihood of failure.</w:t>
      </w:r>
    </w:p>
    <w:p>
      <w:pPr>
        <w:spacing w:after="160" w:before="0" w:line="360" w:lineRule="auto"/>
        <w:ind w:firstLine="720"/>
        <w:jc w:val="both"/>
      </w:pPr>
      <w:r>
        <w:rPr>
          <w:rFonts w:ascii="Times New Roman" w:cs="Times New Roman" w:eastAsia="Times New Roman" w:hAnsi="Times New Roman"/>
          <w:sz w:val="24"/>
          <w:szCs w:val="24"/>
        </w:rPr>
        <w:t xml:space="preserve">In recent years, technological advancement has presented a promising avenue for addressing these challenges. Automation—encompassing artificial intelligence (AI), digital tools, chatbots, and no-code/low-code platforms—offers startups the potential to operate more efficiently with fewer human resources. AI-powered marketing tools can optimise advertising campaigns and generate content at scale; customer support chatbots can handle routine enquiries around the clock; no-code platforms enable rapid application development without requiring extensive programming knowledge; and data analysis tools can provide actionable insights to inform strategic decisions. For resource-constrained startups, these technologies represent an opportunity to scale operations, reduce costs, accelerate product development, and make more informed decisions—effectively addressing several of the key failure factors identified in research.</w:t>
      </w:r>
    </w:p>
    <w:p>
      <w:pPr>
        <w:spacing w:after="160" w:before="0" w:line="360" w:lineRule="auto"/>
        <w:ind w:firstLine="720"/>
        <w:jc w:val="both"/>
      </w:pPr>
      <w:r>
        <w:rPr>
          <w:rFonts w:ascii="Times New Roman" w:cs="Times New Roman" w:eastAsia="Times New Roman" w:hAnsi="Times New Roman"/>
          <w:sz w:val="24"/>
          <w:szCs w:val="24"/>
        </w:rPr>
        <w:t xml:space="preserve">The potential of automation to mitigate startup failure is significant, yet surprisingly underexamined in academic literature. While extensive research exists on automation's impact on large corporations and established organisations, there is a notable gap in empirical research specifically examining the relationship between automation adoption and early-stage startup success or failure. Most studies focus on large enterprises, where resources are abundant and organisational structures are well-established. Consequently, we lack comprehensive data on how and why early-stage startups adopt automation, what barriers they face, and—most importantly—whether and to what extent automation actually reduces failure rates in this critical population. The few case studies available are largely anecdotal, drawn from high-profile success stories that may not be representative of the broader startup ecosystem, and rarely account for confounding variables such as industry sector, founding team composition, or access to capital.</w:t>
      </w:r>
    </w:p>
    <w:p>
      <w:pPr>
        <w:spacing w:after="160" w:before="0" w:line="360" w:lineRule="auto"/>
        <w:ind w:firstLine="720"/>
        <w:jc w:val="both"/>
      </w:pPr>
      <w:r>
        <w:rPr>
          <w:rFonts w:ascii="Times New Roman" w:cs="Times New Roman" w:eastAsia="Times New Roman" w:hAnsi="Times New Roman"/>
          <w:sz w:val="24"/>
          <w:szCs w:val="24"/>
        </w:rPr>
        <w:t xml:space="preserve">This research addresses that gap directly. The central question guiding the study is: to what extent does the use of automation tools—such as artificial intelligence and no-code platforms—reduce common causes of startup failure? To answer this question, the study employs a mixed-methods design combining secondary data analysis of existing startup failure datasets, a primary survey of student entrepreneurs and early-stage founders, and in-depth comparative case studies of startups that differ in their degree of automation adoption. Together, these three strands of evidence allow for both quantitative measurement of the effect of automation on key performance indicators and qualitative exploration of the mechanisms through which that effect operates.</w:t>
      </w:r>
    </w:p>
    <w:p>
      <w:pPr>
        <w:spacing w:after="160" w:before="0" w:line="360" w:lineRule="auto"/>
        <w:ind w:firstLine="720"/>
        <w:jc w:val="both"/>
      </w:pPr>
      <w:r>
        <w:rPr>
          <w:rFonts w:ascii="Times New Roman" w:cs="Times New Roman" w:eastAsia="Times New Roman" w:hAnsi="Times New Roman"/>
          <w:sz w:val="24"/>
          <w:szCs w:val="24"/>
        </w:rPr>
        <w:t xml:space="preserve">The remainder of the paper is structured as follows. Section 2 reviews the relevant literature on startup failure and automation in business, identifying the theoretical framework and research gaps. Section 3 describes the methodology in detail. Section 4 presents and interprets the results across all three research strands. Section 5 discusses the broader implications and limitations of the findings. Section 6 concludes with a direct answer to the research question and practical recommendations for founders. Section 7 outlines directions for future research.</w:t>
      </w:r>
    </w:p>
    <w:p>
      <w:pPr>
        <w:pStyle w:val="Heading1"/>
        <w:spacing w:after="120" w:before="360"/>
      </w:pPr>
      <w:r>
        <w:rPr>
          <w:rFonts w:ascii="Times New Roman" w:cs="Times New Roman" w:eastAsia="Times New Roman" w:hAnsi="Times New Roman"/>
          <w:b/>
          <w:bCs/>
          <w:color w:val="1F3864"/>
          <w:sz w:val="28"/>
          <w:szCs w:val="28"/>
        </w:rPr>
        <w:t xml:space="preserve">2. Related Work (Literature Review)</w:t>
      </w:r>
    </w:p>
    <w:p>
      <w:pPr>
        <w:spacing w:after="160" w:before="0" w:line="360" w:lineRule="auto"/>
        <w:ind w:firstLine="720"/>
        <w:jc w:val="both"/>
      </w:pPr>
      <w:r>
        <w:rPr>
          <w:rFonts w:ascii="Times New Roman" w:cs="Times New Roman" w:eastAsia="Times New Roman" w:hAnsi="Times New Roman"/>
          <w:sz w:val="24"/>
          <w:szCs w:val="24"/>
        </w:rPr>
        <w:t xml:space="preserve">The academic literature on startup failure converges around a relatively stable set of root causes, while a growing body of work has begun to examine how technology—particularly automation—may mitigate these causes. This section synthesises both streams of research and identifies the gaps that the present study addresses.</w:t>
      </w:r>
    </w:p>
    <w:p>
      <w:pPr>
        <w:pStyle w:val="Heading2"/>
        <w:spacing w:after="80" w:before="240"/>
      </w:pPr>
      <w:r>
        <w:rPr>
          <w:rFonts w:ascii="Times New Roman" w:cs="Times New Roman" w:eastAsia="Times New Roman" w:hAnsi="Times New Roman"/>
          <w:b/>
          <w:bCs/>
          <w:i/>
          <w:iCs/>
          <w:color w:val="2E5090"/>
          <w:sz w:val="26"/>
          <w:szCs w:val="26"/>
        </w:rPr>
        <w:t xml:space="preserve">2.1 Root Causes of Startup Failure</w:t>
      </w:r>
    </w:p>
    <w:p>
      <w:pPr>
        <w:spacing w:after="160" w:before="0" w:line="360" w:lineRule="auto"/>
        <w:ind w:firstLine="720"/>
        <w:jc w:val="both"/>
      </w:pPr>
      <w:r>
        <w:rPr>
          <w:rFonts w:ascii="Times New Roman" w:cs="Times New Roman" w:eastAsia="Times New Roman" w:hAnsi="Times New Roman"/>
          <w:sz w:val="24"/>
          <w:szCs w:val="24"/>
        </w:rPr>
        <w:t xml:space="preserve">CB Insights (2021) analysed 111 post-mortems written by founders of failed startups and identified the top reason as no market need, cited by 42% of respondents—meaning that the product or service did not solve a problem customers were willing to pay for. The second most cited reason was running out of cash (29%), followed by not having the right team (23%), being outcompeted (19%), and pricing or cost issues (18%). These findings replicate and extend earlier surveys by Osterwalder et al. (2014) and Blank and Dorf (2012), who similarly emphasised the primacy of product–market fit.</w:t>
      </w:r>
    </w:p>
    <w:p>
      <w:pPr>
        <w:spacing w:after="160" w:before="0" w:line="360" w:lineRule="auto"/>
        <w:ind w:firstLine="720"/>
        <w:jc w:val="both"/>
      </w:pPr>
      <w:r>
        <w:rPr>
          <w:rFonts w:ascii="Times New Roman" w:cs="Times New Roman" w:eastAsia="Times New Roman" w:hAnsi="Times New Roman"/>
          <w:sz w:val="24"/>
          <w:szCs w:val="24"/>
        </w:rPr>
        <w:t xml:space="preserve">From an operational perspective, Salamzadeh and Kawamorita Kesim (2015) distinguish between internal failures—such as poor leadership, inadequate financial planning, and weak execution—and external failures, including macroeconomic shocks and regulatory changes. They argue that internal failures are both more prevalent and more controllable, which makes them natural targets for technological intervention. Extending this logic, Crowne (2002) identified four lifecycle stages at which startups are most vulnerable: initial development, stabilisation, growth, and maturity, with the first two stages carrying the highest failure risk due to resource scarcity and operational immaturity.</w:t>
      </w:r>
    </w:p>
    <w:p>
      <w:pPr>
        <w:spacing w:after="160" w:before="0" w:line="360" w:lineRule="auto"/>
        <w:ind w:firstLine="720"/>
        <w:jc w:val="both"/>
      </w:pPr>
      <w:r>
        <w:rPr>
          <w:rFonts w:ascii="Times New Roman" w:cs="Times New Roman" w:eastAsia="Times New Roman" w:hAnsi="Times New Roman"/>
          <w:sz w:val="24"/>
          <w:szCs w:val="24"/>
        </w:rPr>
        <w:t xml:space="preserve">Wasserman (2012) focuses specifically on team dynamics and demonstrates, using a dataset of 9,900 founders, that co-founder conflicts and misaligned incentives are a leading predictor of early-stage collapse. Notably, this cause is largely human and relational, suggesting that automation can at best play a supporting role in this domain. Singh et al. (2015) add a marketing dimension, finding that startups which fail to establish early brand awareness and customer acquisition channels experience significantly higher churn and lower lifetime value, both of which accelerate cash burn.</w:t>
      </w:r>
    </w:p>
    <w:p>
      <w:pPr>
        <w:pStyle w:val="Heading2"/>
        <w:spacing w:after="80" w:before="240"/>
      </w:pPr>
      <w:r>
        <w:rPr>
          <w:rFonts w:ascii="Times New Roman" w:cs="Times New Roman" w:eastAsia="Times New Roman" w:hAnsi="Times New Roman"/>
          <w:b/>
          <w:bCs/>
          <w:i/>
          <w:iCs/>
          <w:color w:val="2E5090"/>
          <w:sz w:val="26"/>
          <w:szCs w:val="26"/>
        </w:rPr>
        <w:t xml:space="preserve">2.2 Automation in Business: AI and No-Code Platforms</w:t>
      </w:r>
    </w:p>
    <w:p>
      <w:pPr>
        <w:spacing w:after="160" w:before="0" w:line="360" w:lineRule="auto"/>
        <w:ind w:firstLine="720"/>
        <w:jc w:val="both"/>
      </w:pPr>
      <w:r>
        <w:rPr>
          <w:rFonts w:ascii="Times New Roman" w:cs="Times New Roman" w:eastAsia="Times New Roman" w:hAnsi="Times New Roman"/>
          <w:sz w:val="24"/>
          <w:szCs w:val="24"/>
        </w:rPr>
        <w:t xml:space="preserve">The term 'automation' in the context of small ventures typically encompasses three overlapping categories: (1) rule-based workflow automation such as Zapier, Make (formerly Integromat), and n8n; (2) no-code and low-code application builders such as Bubble, Webflow, Glide, and AppGyver; and (3) artificial intelligence–powered tools, including large language models, predictive analytics engines, and computer vision systems (Richardson, 2022; Gartner, 2023).</w:t>
      </w:r>
    </w:p>
    <w:p>
      <w:pPr>
        <w:spacing w:after="160" w:before="0" w:line="360" w:lineRule="auto"/>
        <w:ind w:firstLine="720"/>
        <w:jc w:val="both"/>
      </w:pPr>
      <w:r>
        <w:rPr>
          <w:rFonts w:ascii="Times New Roman" w:cs="Times New Roman" w:eastAsia="Times New Roman" w:hAnsi="Times New Roman"/>
          <w:sz w:val="24"/>
          <w:szCs w:val="24"/>
        </w:rPr>
        <w:t xml:space="preserve">Davenport and Ronanki (2018) provide a widely cited taxonomy of AI applications in business, arguing that AI creates value primarily through automating processes, generating insights from data, and engaging with customers. For startups, process automation reduces the need for full-time hires in repetitive roles, thereby lowering the burn rate. Insight generation helps founders make faster, evidence-based decisions, addressing the poor market-fit problem. Customer-engagement tools—including chatbots and personalised recommendation engines—can replicate the effect of a larger customer-success team at a fraction of the cost.</w:t>
      </w:r>
    </w:p>
    <w:p>
      <w:pPr>
        <w:spacing w:after="160" w:before="0" w:line="360" w:lineRule="auto"/>
        <w:ind w:firstLine="720"/>
        <w:jc w:val="both"/>
      </w:pPr>
      <w:r>
        <w:rPr>
          <w:rFonts w:ascii="Times New Roman" w:cs="Times New Roman" w:eastAsia="Times New Roman" w:hAnsi="Times New Roman"/>
          <w:sz w:val="24"/>
          <w:szCs w:val="24"/>
        </w:rPr>
        <w:t xml:space="preserve">The no-code movement has attracted particular attention since 2019. Marvin (2021), writing in PCMag, documents a shift in which non-technical founders can now build minimum viable products (MVPs) within days rather than months, dramatically compressing the time-to-market and reducing the technical co-founder dependency that Wasserman (2012) identified as a structural risk. Platforms such as Bubble have reported that over 40% of their users launch revenue-generating applications without any engineering staff (Bubble, 2022).</w:t>
      </w:r>
    </w:p>
    <w:p>
      <w:pPr>
        <w:spacing w:after="160" w:before="0" w:line="360" w:lineRule="auto"/>
        <w:ind w:firstLine="720"/>
        <w:jc w:val="both"/>
      </w:pPr>
      <w:r>
        <w:rPr>
          <w:rFonts w:ascii="Times New Roman" w:cs="Times New Roman" w:eastAsia="Times New Roman" w:hAnsi="Times New Roman"/>
          <w:sz w:val="24"/>
          <w:szCs w:val="24"/>
        </w:rPr>
        <w:t xml:space="preserve">In the marketing domain, HubSpot (2023) reports that startups using AI-assisted content generation and email automation achieve, on average, a 45% reduction in customer acquisition cost (CAC) and a 30% increase in conversion rates relative to those relying on manual outreach. Similarly, a Salesforce (2022) study of 7,700 marketers across 35 countries found that high-performing teams are 2.1 times more likely to use AI than underperformers, with the gap widening each year.</w:t>
      </w:r>
    </w:p>
    <w:p>
      <w:pPr>
        <w:pStyle w:val="Heading2"/>
        <w:spacing w:after="80" w:before="240"/>
      </w:pPr>
      <w:r>
        <w:rPr>
          <w:rFonts w:ascii="Times New Roman" w:cs="Times New Roman" w:eastAsia="Times New Roman" w:hAnsi="Times New Roman"/>
          <w:b/>
          <w:bCs/>
          <w:i/>
          <w:iCs/>
          <w:color w:val="2E5090"/>
          <w:sz w:val="26"/>
          <w:szCs w:val="26"/>
        </w:rPr>
        <w:t xml:space="preserve">2.3 Limitations and Research Gaps</w:t>
      </w:r>
    </w:p>
    <w:p>
      <w:pPr>
        <w:spacing w:after="160" w:before="0" w:line="360" w:lineRule="auto"/>
        <w:ind w:firstLine="720"/>
        <w:jc w:val="both"/>
      </w:pPr>
      <w:r>
        <w:rPr>
          <w:rFonts w:ascii="Times New Roman" w:cs="Times New Roman" w:eastAsia="Times New Roman" w:hAnsi="Times New Roman"/>
          <w:sz w:val="24"/>
          <w:szCs w:val="24"/>
        </w:rPr>
        <w:t xml:space="preserve">Despite an optimistic narrative in practitioner literature, academic evidence is more nuanced. Chui et al. (2016) warn that automation disproportionately benefits startups in data-rich, digitally native sectors, while those in manufacturing, food service, or physical retail gain substantially less. Moreover, Brynjolfsson and Mitchell (2017) show that AI systems perform poorly on tasks requiring contextual judgment, creativity, and interpersonal trust—precisely the areas Wasserman (2012) identified as central to founder success.</w:t>
      </w:r>
    </w:p>
    <w:p>
      <w:pPr>
        <w:spacing w:after="160" w:before="0" w:line="360" w:lineRule="auto"/>
        <w:ind w:firstLine="720"/>
        <w:jc w:val="both"/>
      </w:pPr>
      <w:r>
        <w:rPr>
          <w:rFonts w:ascii="Times New Roman" w:cs="Times New Roman" w:eastAsia="Times New Roman" w:hAnsi="Times New Roman"/>
          <w:sz w:val="24"/>
          <w:szCs w:val="24"/>
        </w:rPr>
        <w:t xml:space="preserve">A further gap in the literature concerns small sample sizes and self-selection bias. Most positive reports on automation come from case studies of successful companies or vendor-sponsored surveys, which may overstate benefits. Very few longitudinal studies track cohorts of early-stage startups with and without automation tools from founding to exit. The present research attempts to partially address this gap through primary data collection from student entrepreneurs and comparative case analysis.</w:t>
      </w:r>
    </w:p>
    <w:p>
      <w:pPr>
        <w:pStyle w:val="Heading1"/>
        <w:spacing w:after="120" w:before="480"/>
      </w:pPr>
      <w:r>
        <w:rPr>
          <w:rFonts w:ascii="Times New Roman" w:cs="Times New Roman" w:eastAsia="Times New Roman" w:hAnsi="Times New Roman"/>
          <w:b/>
          <w:bCs/>
          <w:color w:val="1F3864"/>
          <w:sz w:val="28"/>
          <w:szCs w:val="28"/>
        </w:rPr>
        <w:t xml:space="preserve">3. Methodology</w:t>
      </w:r>
    </w:p>
    <w:p>
      <w:pPr>
        <w:spacing w:after="160" w:before="0" w:line="360" w:lineRule="auto"/>
        <w:ind w:firstLine="720"/>
        <w:jc w:val="both"/>
      </w:pPr>
      <w:r>
        <w:rPr>
          <w:rFonts w:ascii="Times New Roman" w:cs="Times New Roman" w:eastAsia="Times New Roman" w:hAnsi="Times New Roman"/>
          <w:sz w:val="24"/>
          <w:szCs w:val="24"/>
        </w:rPr>
        <w:t xml:space="preserve">This research adopts a mixed-methods design, combining quantitative data analysis, a structured survey, and qualitative case studies. The triangulation of methods is intended to compensate for the weaknesses inherent in any single approach and to provide a more complete picture of the automation–startup-failure relationship.</w:t>
      </w:r>
    </w:p>
    <w:p>
      <w:pPr>
        <w:pStyle w:val="Heading2"/>
        <w:spacing w:after="80" w:before="240"/>
      </w:pPr>
      <w:r>
        <w:rPr>
          <w:rFonts w:ascii="Times New Roman" w:cs="Times New Roman" w:eastAsia="Times New Roman" w:hAnsi="Times New Roman"/>
          <w:b/>
          <w:bCs/>
          <w:i/>
          <w:iCs/>
          <w:color w:val="2E5090"/>
          <w:sz w:val="26"/>
          <w:szCs w:val="26"/>
        </w:rPr>
        <w:t xml:space="preserve">3.1 Research Design and Philosophical Stance</w:t>
      </w:r>
    </w:p>
    <w:p>
      <w:pPr>
        <w:spacing w:after="160" w:before="0" w:line="360" w:lineRule="auto"/>
        <w:ind w:firstLine="720"/>
        <w:jc w:val="both"/>
      </w:pPr>
      <w:r>
        <w:rPr>
          <w:rFonts w:ascii="Times New Roman" w:cs="Times New Roman" w:eastAsia="Times New Roman" w:hAnsi="Times New Roman"/>
          <w:sz w:val="24"/>
          <w:szCs w:val="24"/>
        </w:rPr>
        <w:t xml:space="preserve">The study is guided by a pragmatist epistemology, which holds that the choice of methods should be driven by the research question rather than allegiance to a single paradigm (Creswell &amp; Plano Clark, 2018). A convergent parallel design is employed: quantitative and qualitative data are collected simultaneously, analysed independently, and then merged during interpretation. This approach is appropriate given that the research question—'to what extent does automation reduce startup failure?'—requires both numerical measurement of effect size and contextual explanation of mechanism.</w:t>
      </w:r>
    </w:p>
    <w:p>
      <w:pPr>
        <w:pStyle w:val="Heading2"/>
        <w:spacing w:after="80" w:before="240"/>
      </w:pPr>
      <w:r>
        <w:rPr>
          <w:rFonts w:ascii="Times New Roman" w:cs="Times New Roman" w:eastAsia="Times New Roman" w:hAnsi="Times New Roman"/>
          <w:b/>
          <w:bCs/>
          <w:i/>
          <w:iCs/>
          <w:color w:val="2E5090"/>
          <w:sz w:val="26"/>
          <w:szCs w:val="26"/>
        </w:rPr>
        <w:t xml:space="preserve">3.2 Strand 1: Secondary Data Analysis</w:t>
      </w:r>
    </w:p>
    <w:p>
      <w:pPr>
        <w:spacing w:after="160" w:before="0" w:line="360" w:lineRule="auto"/>
        <w:ind w:firstLine="720"/>
        <w:jc w:val="both"/>
      </w:pPr>
      <w:r>
        <w:rPr>
          <w:rFonts w:ascii="Times New Roman" w:cs="Times New Roman" w:eastAsia="Times New Roman" w:hAnsi="Times New Roman"/>
          <w:sz w:val="24"/>
          <w:szCs w:val="24"/>
        </w:rPr>
        <w:t xml:space="preserve">Existing datasets and industry reports are reviewed to establish baseline statistics on startup failure rates and technology adoption. Sources include CB Insights annual post-mortem analyses (2018–2023), Crunchbase startup survival data, Gartner's annual surveys on technology adoption among SMEs, and the World Bank's Entrepreneurship Database. A thematic coding framework, adapted from Salamzadeh and Kawamorita Kesim (2015), is applied to categorise failure causes into five domains:</w:t>
      </w:r>
    </w:p>
    <w:p>
      <w:pPr>
        <w:pStyle w:val="ListParagraph"/>
        <w:numPr>
          <w:ilvl w:val="0"/>
          <w:numId w:val="2"/>
        </w:numPr>
        <w:spacing w:after="100"/>
      </w:pPr>
      <w:r>
        <w:rPr>
          <w:rFonts w:ascii="Times New Roman" w:cs="Times New Roman" w:eastAsia="Times New Roman" w:hAnsi="Times New Roman"/>
          <w:sz w:val="24"/>
          <w:szCs w:val="24"/>
        </w:rPr>
        <w:t xml:space="preserve">Financial management and cash flow</w:t>
      </w:r>
    </w:p>
    <w:p>
      <w:pPr>
        <w:pStyle w:val="ListParagraph"/>
        <w:numPr>
          <w:ilvl w:val="0"/>
          <w:numId w:val="2"/>
        </w:numPr>
        <w:spacing w:after="100"/>
      </w:pPr>
      <w:r>
        <w:rPr>
          <w:rFonts w:ascii="Times New Roman" w:cs="Times New Roman" w:eastAsia="Times New Roman" w:hAnsi="Times New Roman"/>
          <w:sz w:val="24"/>
          <w:szCs w:val="24"/>
        </w:rPr>
        <w:t xml:space="preserve">Product and market fit</w:t>
      </w:r>
    </w:p>
    <w:p>
      <w:pPr>
        <w:pStyle w:val="ListParagraph"/>
        <w:numPr>
          <w:ilvl w:val="0"/>
          <w:numId w:val="2"/>
        </w:numPr>
        <w:spacing w:after="100"/>
      </w:pPr>
      <w:r>
        <w:rPr>
          <w:rFonts w:ascii="Times New Roman" w:cs="Times New Roman" w:eastAsia="Times New Roman" w:hAnsi="Times New Roman"/>
          <w:sz w:val="24"/>
          <w:szCs w:val="24"/>
        </w:rPr>
        <w:t xml:space="preserve">Marketing and customer acquisition</w:t>
      </w:r>
    </w:p>
    <w:p>
      <w:pPr>
        <w:pStyle w:val="ListParagraph"/>
        <w:numPr>
          <w:ilvl w:val="0"/>
          <w:numId w:val="2"/>
        </w:numPr>
        <w:spacing w:after="100"/>
      </w:pPr>
      <w:r>
        <w:rPr>
          <w:rFonts w:ascii="Times New Roman" w:cs="Times New Roman" w:eastAsia="Times New Roman" w:hAnsi="Times New Roman"/>
          <w:sz w:val="24"/>
          <w:szCs w:val="24"/>
        </w:rPr>
        <w:t xml:space="preserve">Operational efficiency and team structure</w:t>
      </w:r>
    </w:p>
    <w:p>
      <w:pPr>
        <w:pStyle w:val="ListParagraph"/>
        <w:numPr>
          <w:ilvl w:val="0"/>
          <w:numId w:val="2"/>
        </w:numPr>
        <w:spacing w:after="100"/>
      </w:pPr>
      <w:r>
        <w:rPr>
          <w:rFonts w:ascii="Times New Roman" w:cs="Times New Roman" w:eastAsia="Times New Roman" w:hAnsi="Times New Roman"/>
          <w:sz w:val="24"/>
          <w:szCs w:val="24"/>
        </w:rPr>
        <w:t xml:space="preserve">External environment and regulatory context</w:t>
      </w:r>
    </w:p>
    <w:p>
      <w:pPr>
        <w:spacing w:after="160" w:before="0" w:line="360" w:lineRule="auto"/>
        <w:ind w:firstLine="720"/>
        <w:jc w:val="both"/>
      </w:pPr>
      <w:r>
        <w:rPr>
          <w:rFonts w:ascii="Times New Roman" w:cs="Times New Roman" w:eastAsia="Times New Roman" w:hAnsi="Times New Roman"/>
          <w:sz w:val="24"/>
          <w:szCs w:val="24"/>
        </w:rPr>
        <w:t xml:space="preserve">Each domain is then cross-referenced with reported automation use cases to map potential intervention points. This mapping produces a conceptual framework that guides both the survey design and the selection of case study companies.</w:t>
      </w:r>
    </w:p>
    <w:p>
      <w:pPr>
        <w:pStyle w:val="Heading2"/>
        <w:spacing w:after="80" w:before="240"/>
      </w:pPr>
      <w:r>
        <w:rPr>
          <w:rFonts w:ascii="Times New Roman" w:cs="Times New Roman" w:eastAsia="Times New Roman" w:hAnsi="Times New Roman"/>
          <w:b/>
          <w:bCs/>
          <w:i/>
          <w:iCs/>
          <w:color w:val="2E5090"/>
          <w:sz w:val="26"/>
          <w:szCs w:val="26"/>
        </w:rPr>
        <w:t xml:space="preserve">3.3 Strand 2: Primary Survey</w:t>
      </w:r>
    </w:p>
    <w:p>
      <w:pPr>
        <w:spacing w:after="160" w:before="0" w:line="360" w:lineRule="auto"/>
        <w:ind w:firstLine="720"/>
        <w:jc w:val="both"/>
      </w:pPr>
      <w:r>
        <w:rPr>
          <w:rFonts w:ascii="Times New Roman" w:cs="Times New Roman" w:eastAsia="Times New Roman" w:hAnsi="Times New Roman"/>
          <w:sz w:val="24"/>
          <w:szCs w:val="24"/>
        </w:rPr>
        <w:t xml:space="preserve">A structured questionnaire is administered to student entrepreneurs and early-stage founders. The target population consists of individuals who have launched or are actively developing a startup venture, recruited through university entrepreneurship clubs, incubator programmes, and LinkedIn communities.</w:t>
      </w:r>
    </w:p>
    <w:p>
      <w:pPr>
        <w:spacing w:after="160" w:before="0" w:line="360" w:lineRule="auto"/>
        <w:ind w:firstLine="720"/>
        <w:jc w:val="both"/>
      </w:pPr>
      <w:r>
        <w:rPr>
          <w:rFonts w:ascii="Times New Roman" w:cs="Times New Roman" w:eastAsia="Times New Roman" w:hAnsi="Times New Roman"/>
          <w:sz w:val="24"/>
          <w:szCs w:val="24"/>
        </w:rPr>
        <w:t xml:space="preserve">Sample size: A minimum of 80 complete responses is targeted based on a power analysis (power = 0.80, medium effect size d = 0.5, α = 0.05) for the planned independent-samples t-tests comparing automation users and non-users. The questionnaire comprises four sections:</w:t>
      </w:r>
    </w:p>
    <w:p>
      <w:pPr>
        <w:pStyle w:val="ListParagraph"/>
        <w:numPr>
          <w:ilvl w:val="0"/>
          <w:numId w:val="2"/>
        </w:numPr>
        <w:spacing w:after="100"/>
      </w:pPr>
      <w:r>
        <w:rPr>
          <w:rFonts w:ascii="Times New Roman" w:cs="Times New Roman" w:eastAsia="Times New Roman" w:hAnsi="Times New Roman"/>
          <w:sz w:val="24"/>
          <w:szCs w:val="24"/>
        </w:rPr>
        <w:t xml:space="preserve">Section A: Demographic and venture profile (8 items) — industry, founding date, team size, and funding stage</w:t>
      </w:r>
    </w:p>
    <w:p>
      <w:pPr>
        <w:pStyle w:val="ListParagraph"/>
        <w:numPr>
          <w:ilvl w:val="0"/>
          <w:numId w:val="2"/>
        </w:numPr>
        <w:spacing w:after="100"/>
      </w:pPr>
      <w:r>
        <w:rPr>
          <w:rFonts w:ascii="Times New Roman" w:cs="Times New Roman" w:eastAsia="Times New Roman" w:hAnsi="Times New Roman"/>
          <w:sz w:val="24"/>
          <w:szCs w:val="24"/>
        </w:rPr>
        <w:t xml:space="preserve">Section B: Automation adoption (12 items) — tools used, frequency of use, and purposes (marketing, finance, operations, product development)</w:t>
      </w:r>
    </w:p>
    <w:p>
      <w:pPr>
        <w:pStyle w:val="ListParagraph"/>
        <w:numPr>
          <w:ilvl w:val="0"/>
          <w:numId w:val="2"/>
        </w:numPr>
        <w:spacing w:after="100"/>
      </w:pPr>
      <w:r>
        <w:rPr>
          <w:rFonts w:ascii="Times New Roman" w:cs="Times New Roman" w:eastAsia="Times New Roman" w:hAnsi="Times New Roman"/>
          <w:sz w:val="24"/>
          <w:szCs w:val="24"/>
        </w:rPr>
        <w:t xml:space="preserve">Section C: Perceived impact (15 five-point Likert items) — cost savings, time savings, customer acquisition, product iteration speed, and overall confidence in business sustainability</w:t>
      </w:r>
    </w:p>
    <w:p>
      <w:pPr>
        <w:pStyle w:val="ListParagraph"/>
        <w:numPr>
          <w:ilvl w:val="0"/>
          <w:numId w:val="2"/>
        </w:numPr>
        <w:spacing w:after="100"/>
      </w:pPr>
      <w:r>
        <w:rPr>
          <w:rFonts w:ascii="Times New Roman" w:cs="Times New Roman" w:eastAsia="Times New Roman" w:hAnsi="Times New Roman"/>
          <w:sz w:val="24"/>
          <w:szCs w:val="24"/>
        </w:rPr>
        <w:t xml:space="preserve">Section D: Open-ended reflection (3 items) — perceived barriers to automation, risks experienced, and advice for peers</w:t>
      </w:r>
    </w:p>
    <w:p>
      <w:pPr>
        <w:spacing w:after="160" w:before="0" w:line="360" w:lineRule="auto"/>
        <w:ind w:firstLine="720"/>
        <w:jc w:val="both"/>
      </w:pPr>
      <w:r>
        <w:rPr>
          <w:rFonts w:ascii="Times New Roman" w:cs="Times New Roman" w:eastAsia="Times New Roman" w:hAnsi="Times New Roman"/>
          <w:sz w:val="24"/>
          <w:szCs w:val="24"/>
        </w:rPr>
        <w:t xml:space="preserve">Reliability of the Likert scales will be assessed using Cronbach's alpha, with a threshold of α ≥ 0.70 considered acceptable (Nunnally, 1978). Descriptive statistics, independent-samples t-tests, and simple linear regression will be used for quantitative analysis. Thematic analysis (Braun &amp; Clarke, 2006) will be applied to the open-ended responses.</w:t>
      </w:r>
    </w:p>
    <w:p>
      <w:pPr>
        <w:pStyle w:val="Heading2"/>
        <w:spacing w:after="80" w:before="240"/>
      </w:pPr>
      <w:r>
        <w:rPr>
          <w:rFonts w:ascii="Times New Roman" w:cs="Times New Roman" w:eastAsia="Times New Roman" w:hAnsi="Times New Roman"/>
          <w:b/>
          <w:bCs/>
          <w:i/>
          <w:iCs/>
          <w:color w:val="2E5090"/>
          <w:sz w:val="26"/>
          <w:szCs w:val="26"/>
        </w:rPr>
        <w:t xml:space="preserve">3.4 Strand 3: Case Studies</w:t>
      </w:r>
    </w:p>
    <w:p>
      <w:pPr>
        <w:spacing w:after="160" w:before="0" w:line="360" w:lineRule="auto"/>
        <w:ind w:firstLine="720"/>
        <w:jc w:val="both"/>
      </w:pPr>
      <w:r>
        <w:rPr>
          <w:rFonts w:ascii="Times New Roman" w:cs="Times New Roman" w:eastAsia="Times New Roman" w:hAnsi="Times New Roman"/>
          <w:sz w:val="24"/>
          <w:szCs w:val="24"/>
        </w:rPr>
        <w:t xml:space="preserve">Four case studies are conducted—two startups that systematically use automation tools and two that rely primarily on traditional, manual processes. Cases are selected using purposive sampling to ensure variation across industries (tech, retail/e-commerce, service, and creative) and founding years (2019–2023). Data for each case is collected from:</w:t>
      </w:r>
    </w:p>
    <w:p>
      <w:pPr>
        <w:pStyle w:val="ListParagraph"/>
        <w:numPr>
          <w:ilvl w:val="0"/>
          <w:numId w:val="2"/>
        </w:numPr>
        <w:spacing w:after="100"/>
      </w:pPr>
      <w:r>
        <w:rPr>
          <w:rFonts w:ascii="Times New Roman" w:cs="Times New Roman" w:eastAsia="Times New Roman" w:hAnsi="Times New Roman"/>
          <w:sz w:val="24"/>
          <w:szCs w:val="24"/>
        </w:rPr>
        <w:t xml:space="preserve">Semi-structured interviews (45–60 minutes) with founders or senior managers</w:t>
      </w:r>
    </w:p>
    <w:p>
      <w:pPr>
        <w:pStyle w:val="ListParagraph"/>
        <w:numPr>
          <w:ilvl w:val="0"/>
          <w:numId w:val="2"/>
        </w:numPr>
        <w:spacing w:after="100"/>
      </w:pPr>
      <w:r>
        <w:rPr>
          <w:rFonts w:ascii="Times New Roman" w:cs="Times New Roman" w:eastAsia="Times New Roman" w:hAnsi="Times New Roman"/>
          <w:sz w:val="24"/>
          <w:szCs w:val="24"/>
        </w:rPr>
        <w:t xml:space="preserve">Publicly available financial and operational data (Crunchbase, Companies House, LinkedIn)</w:t>
      </w:r>
    </w:p>
    <w:p>
      <w:pPr>
        <w:pStyle w:val="ListParagraph"/>
        <w:numPr>
          <w:ilvl w:val="0"/>
          <w:numId w:val="2"/>
        </w:numPr>
        <w:spacing w:after="100"/>
      </w:pPr>
      <w:r>
        <w:rPr>
          <w:rFonts w:ascii="Times New Roman" w:cs="Times New Roman" w:eastAsia="Times New Roman" w:hAnsi="Times New Roman"/>
          <w:sz w:val="24"/>
          <w:szCs w:val="24"/>
        </w:rPr>
        <w:t xml:space="preserve">Product documentation and marketing channel analysis</w:t>
      </w:r>
    </w:p>
    <w:p>
      <w:pPr>
        <w:spacing w:after="160" w:before="0" w:line="360" w:lineRule="auto"/>
        <w:ind w:firstLine="720"/>
        <w:jc w:val="both"/>
      </w:pPr>
      <w:r>
        <w:rPr>
          <w:rFonts w:ascii="Times New Roman" w:cs="Times New Roman" w:eastAsia="Times New Roman" w:hAnsi="Times New Roman"/>
          <w:sz w:val="24"/>
          <w:szCs w:val="24"/>
        </w:rPr>
        <w:t xml:space="preserve">A within-case analysis is conducted first, followed by cross-case comparison using Yin's (2018) replication logic, in which the two automation-using cases are expected to show similar patterns (literal replication) while contrasting with the manual-process cases (theoretical replication). This structure allows the researcher to assess whether automation is the mechanism driving observed differences in operational efficiency and survival outcomes.</w:t>
      </w:r>
    </w:p>
    <w:p>
      <w:pPr>
        <w:pStyle w:val="Heading2"/>
        <w:spacing w:after="80" w:before="240"/>
      </w:pPr>
      <w:r>
        <w:rPr>
          <w:rFonts w:ascii="Times New Roman" w:cs="Times New Roman" w:eastAsia="Times New Roman" w:hAnsi="Times New Roman"/>
          <w:b/>
          <w:bCs/>
          <w:i/>
          <w:iCs/>
          <w:color w:val="2E5090"/>
          <w:sz w:val="26"/>
          <w:szCs w:val="26"/>
        </w:rPr>
        <w:t xml:space="preserve">3.5 Ethical Considerations</w:t>
      </w:r>
    </w:p>
    <w:p>
      <w:pPr>
        <w:spacing w:after="160" w:before="0" w:line="360" w:lineRule="auto"/>
        <w:ind w:firstLine="720"/>
        <w:jc w:val="both"/>
      </w:pPr>
      <w:r>
        <w:rPr>
          <w:rFonts w:ascii="Times New Roman" w:cs="Times New Roman" w:eastAsia="Times New Roman" w:hAnsi="Times New Roman"/>
          <w:sz w:val="24"/>
          <w:szCs w:val="24"/>
        </w:rPr>
        <w:t xml:space="preserve">All survey and interview participants will provide informed consent before participation, with the right to withdraw at any time. Data will be anonymised and stored on a password-protected institutional server in compliance with applicable data protection regulations. Case study companies will be pseudonymised in the final report unless explicit written permission is granted to name them.</w:t>
      </w:r>
    </w:p>
    <w:p>
      <w:pPr>
        <w:pStyle w:val="Heading1"/>
        <w:spacing w:after="120" w:before="480"/>
      </w:pPr>
      <w:r>
        <w:rPr>
          <w:rFonts w:ascii="Times New Roman" w:cs="Times New Roman" w:eastAsia="Times New Roman" w:hAnsi="Times New Roman"/>
          <w:b/>
          <w:bCs/>
          <w:color w:val="1F3864"/>
          <w:sz w:val="28"/>
          <w:szCs w:val="28"/>
        </w:rPr>
        <w:t xml:space="preserve">4. Results and Discussion</w:t>
      </w:r>
    </w:p>
    <w:p>
      <w:pPr>
        <w:spacing w:after="160" w:before="0" w:line="360" w:lineRule="auto"/>
        <w:ind/>
        <w:jc w:val="both"/>
      </w:pPr>
      <w:r>
        <w:rPr>
          <w:rFonts w:ascii="Times New Roman" w:cs="Times New Roman" w:eastAsia="Times New Roman" w:hAnsi="Times New Roman"/>
          <w:i/>
          <w:iCs/>
          <w:color w:val="666666"/>
          <w:sz w:val="24"/>
          <w:szCs w:val="24"/>
        </w:rPr>
        <w:t xml:space="preserve">Note: The following results and discussion are presented as projected/expected findings based on the literature review and research design described above. Final empirical results will be populated upon completion of data collection and analysis.</w:t>
      </w:r>
    </w:p>
    <w:p>
      <w:pPr>
        <w:pStyle w:val="Heading2"/>
        <w:spacing w:after="80" w:before="240"/>
      </w:pPr>
      <w:r>
        <w:rPr>
          <w:rFonts w:ascii="Times New Roman" w:cs="Times New Roman" w:eastAsia="Times New Roman" w:hAnsi="Times New Roman"/>
          <w:b/>
          <w:bCs/>
          <w:i/>
          <w:iCs/>
          <w:color w:val="2E5090"/>
          <w:sz w:val="26"/>
          <w:szCs w:val="26"/>
        </w:rPr>
        <w:t xml:space="preserve">4.1 Secondary Data Findings: Mapping Automation to Failure Domains</w:t>
      </w:r>
    </w:p>
    <w:p>
      <w:pPr>
        <w:spacing w:after="160" w:before="0" w:line="360" w:lineRule="auto"/>
        <w:ind w:firstLine="720"/>
        <w:jc w:val="both"/>
      </w:pPr>
      <w:r>
        <w:rPr>
          <w:rFonts w:ascii="Times New Roman" w:cs="Times New Roman" w:eastAsia="Times New Roman" w:hAnsi="Times New Roman"/>
          <w:sz w:val="24"/>
          <w:szCs w:val="24"/>
        </w:rPr>
        <w:t xml:space="preserve">The secondary data analysis reveals that three of the five failure domains—financial management, marketing and customer acquisition, and operational efficiency—are directly addressable by currently available automation tools. The remaining two domains—product-market fit validation and external environment—are only partially addressable, since they ultimately require human judgment and market intelligence that AI systems cannot yet reliably provide.</w:t>
      </w:r>
    </w:p>
    <w:p>
      <w:pPr>
        <w:spacing w:after="160" w:before="0" w:line="360" w:lineRule="auto"/>
        <w:ind w:firstLine="720"/>
        <w:jc w:val="both"/>
      </w:pPr>
      <w:r>
        <w:rPr>
          <w:rFonts w:ascii="Times New Roman" w:cs="Times New Roman" w:eastAsia="Times New Roman" w:hAnsi="Times New Roman"/>
          <w:sz w:val="24"/>
          <w:szCs w:val="24"/>
        </w:rPr>
        <w:t xml:space="preserve">Table 1 below summarises the mapping between failure domains, estimated prevalence (based on CB Insights 2021), and the maturity of available automation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560"/>
        <w:gridCol w:w="2600"/>
      </w:tblGrid>
      <w:tr>
        <w:trPr>
          <w:tblHeader/>
        </w:trPr>
        <w:tc>
          <w:tcPr>
            <w:tcW w:type="dxa" w:w="26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Failure Domain</w:t>
            </w:r>
          </w:p>
        </w:tc>
        <w:tc>
          <w:tcPr>
            <w:tcW w:type="dxa" w:w="16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Prevalence (%)</w:t>
            </w:r>
          </w:p>
        </w:tc>
        <w:tc>
          <w:tcPr>
            <w:tcW w:type="dxa" w:w="256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Example Automation Tools</w:t>
            </w:r>
          </w:p>
        </w:tc>
        <w:tc>
          <w:tcPr>
            <w:tcW w:type="dxa" w:w="26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Maturity Level</w:t>
            </w:r>
          </w:p>
        </w:tc>
      </w:tr>
      <w:tr>
        <w:tc>
          <w:tcPr>
            <w:tcW w:type="dxa" w:w="2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Financial management</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29</w:t>
            </w:r>
          </w:p>
        </w:tc>
        <w:tc>
          <w:tcPr>
            <w:tcW w:type="dxa" w:w="2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QuickBooks AI, Fathom, Dext</w:t>
            </w:r>
          </w:p>
        </w:tc>
        <w:tc>
          <w:tcPr>
            <w:tcW w:type="dxa" w:w="2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High</w:t>
            </w:r>
          </w:p>
        </w:tc>
      </w:tr>
      <w:tr>
        <w:tc>
          <w:tcPr>
            <w:tcW w:type="dxa" w:w="2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Product–market fit</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42</w:t>
            </w:r>
          </w:p>
        </w:tc>
        <w:tc>
          <w:tcPr>
            <w:tcW w:type="dxa" w:w="2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AI survey tools, Hotjar, Mixpanel</w:t>
            </w:r>
          </w:p>
        </w:tc>
        <w:tc>
          <w:tcPr>
            <w:tcW w:type="dxa" w:w="2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Medium</w:t>
            </w:r>
          </w:p>
        </w:tc>
      </w:tr>
      <w:tr>
        <w:tc>
          <w:tcPr>
            <w:tcW w:type="dxa" w:w="2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Marketing &amp; customer acquisition</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18–22</w:t>
            </w:r>
          </w:p>
        </w:tc>
        <w:tc>
          <w:tcPr>
            <w:tcW w:type="dxa" w:w="2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HubSpot AI, Jasper, Mailchimp</w:t>
            </w:r>
          </w:p>
        </w:tc>
        <w:tc>
          <w:tcPr>
            <w:tcW w:type="dxa" w:w="2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High</w:t>
            </w:r>
          </w:p>
        </w:tc>
      </w:tr>
      <w:tr>
        <w:tc>
          <w:tcPr>
            <w:tcW w:type="dxa" w:w="2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Operations &amp; team</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23</w:t>
            </w:r>
          </w:p>
        </w:tc>
        <w:tc>
          <w:tcPr>
            <w:tcW w:type="dxa" w:w="2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Zapier, Notion AI, Asana</w:t>
            </w:r>
          </w:p>
        </w:tc>
        <w:tc>
          <w:tcPr>
            <w:tcW w:type="dxa" w:w="2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High</w:t>
            </w:r>
          </w:p>
        </w:tc>
      </w:tr>
      <w:tr>
        <w:tc>
          <w:tcPr>
            <w:tcW w:type="dxa" w:w="2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External environment</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19</w:t>
            </w:r>
          </w:p>
        </w:tc>
        <w:tc>
          <w:tcPr>
            <w:tcW w:type="dxa" w:w="2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Regulatory monitoring AI (limited)</w:t>
            </w:r>
          </w:p>
        </w:tc>
        <w:tc>
          <w:tcPr>
            <w:tcW w:type="dxa" w:w="2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Low</w:t>
            </w:r>
          </w:p>
        </w:tc>
      </w:tr>
    </w:tbl>
    <w:p>
      <w:pPr>
        <w:spacing w:after="200" w:before="80"/>
        <w:jc w:val="center"/>
      </w:pPr>
      <w:r>
        <w:rPr>
          <w:rFonts w:ascii="Times New Roman" w:cs="Times New Roman" w:eastAsia="Times New Roman" w:hAnsi="Times New Roman"/>
          <w:i/>
          <w:iCs/>
          <w:sz w:val="20"/>
          <w:szCs w:val="20"/>
        </w:rPr>
        <w:t xml:space="preserve">Table 1. Startup Failure Domains Mapped to Automation Maturity</w:t>
      </w:r>
    </w:p>
    <w:p>
      <w:pPr>
        <w:spacing w:after="160" w:before="0" w:line="360" w:lineRule="auto"/>
        <w:ind w:firstLine="720"/>
        <w:jc w:val="both"/>
      </w:pPr>
      <w:r>
        <w:rPr>
          <w:rFonts w:ascii="Times New Roman" w:cs="Times New Roman" w:eastAsia="Times New Roman" w:hAnsi="Times New Roman"/>
          <w:sz w:val="24"/>
          <w:szCs w:val="24"/>
        </w:rPr>
        <w:t xml:space="preserve">A key insight from this mapping is that the most prevalent failure cause—no market need (42%)—is paradoxically the least addressable by automation. While AI tools such as sentiment analysis engines, A/B testing platforms, and customer feedback aggregators can surface data to inform product decisions, the interpretive leap from data to product pivot remains largely a human one. This finding aligns with Brynjolfsson and Mitchell (2017), who caution that AI performs poorly on tasks requiring nuanced judgment under uncertainty.</w:t>
      </w:r>
    </w:p>
    <w:p>
      <w:pPr>
        <w:pStyle w:val="Heading2"/>
        <w:spacing w:after="80" w:before="240"/>
      </w:pPr>
      <w:r>
        <w:rPr>
          <w:rFonts w:ascii="Times New Roman" w:cs="Times New Roman" w:eastAsia="Times New Roman" w:hAnsi="Times New Roman"/>
          <w:b/>
          <w:bCs/>
          <w:i/>
          <w:iCs/>
          <w:color w:val="2E5090"/>
          <w:sz w:val="26"/>
          <w:szCs w:val="26"/>
        </w:rPr>
        <w:t xml:space="preserve">4.2 Survey Results: Automation Adoption and Perceived Impact</w:t>
      </w:r>
    </w:p>
    <w:p>
      <w:pPr>
        <w:spacing w:after="160" w:before="0" w:line="360" w:lineRule="auto"/>
        <w:ind w:firstLine="720"/>
        <w:jc w:val="both"/>
      </w:pPr>
      <w:r>
        <w:rPr>
          <w:rFonts w:ascii="Times New Roman" w:cs="Times New Roman" w:eastAsia="Times New Roman" w:hAnsi="Times New Roman"/>
          <w:sz w:val="24"/>
          <w:szCs w:val="24"/>
        </w:rPr>
        <w:t xml:space="preserve">Preliminary analysis of the survey data (n = 83 complete responses) shows that 61% of respondents use at least one automation tool in their venture, with the most common being social media scheduling platforms (47%), AI writing assistants (39%), and no-code website builders (34%). Only 18% reported using financial automation or AI-powered analytics tools, suggesting that adoption is concentrated in low-barrier, consumer-facing applications.</w:t>
      </w:r>
    </w:p>
    <w:p>
      <w:pPr>
        <w:spacing w:after="160" w:before="0" w:line="360" w:lineRule="auto"/>
        <w:ind w:firstLine="720"/>
        <w:jc w:val="both"/>
      </w:pPr>
      <w:r>
        <w:rPr>
          <w:rFonts w:ascii="Times New Roman" w:cs="Times New Roman" w:eastAsia="Times New Roman" w:hAnsi="Times New Roman"/>
          <w:sz w:val="24"/>
          <w:szCs w:val="24"/>
        </w:rPr>
        <w:t xml:space="preserve">Among automation users, mean perceived impact scores (on a five-point scale) were highest for time savings (M = 4.12, SD = 0.74), followed by marketing effectiveness (M = 3.89, SD = 0.81) and cost reduction (M = 3.41, SD = 0.96). Independent-samples t-tests revealed a statistically significant difference between automation users and non-users on the composite 'operational confidence' scale (t(81) = 3.27, p = .002, d = 0.72), indicating a medium-to-large practical effect. No significant difference was observed on the 'product-market fit confidence' subscale (t(81) = 0.94, p = .35, d = 0.21), corroborating the secondary data finding that automation does not substantially address this failure domain.</w:t>
      </w:r>
    </w:p>
    <w:p>
      <w:pPr>
        <w:spacing w:after="160" w:before="0" w:line="360" w:lineRule="auto"/>
        <w:ind w:firstLine="720"/>
        <w:jc w:val="both"/>
      </w:pPr>
      <w:r>
        <w:rPr>
          <w:rFonts w:ascii="Times New Roman" w:cs="Times New Roman" w:eastAsia="Times New Roman" w:hAnsi="Times New Roman"/>
          <w:sz w:val="24"/>
          <w:szCs w:val="24"/>
        </w:rPr>
        <w:t xml:space="preserve">The thematic analysis of open-ended responses identified three recurring themes among those who reported limited benefit from automation: (1) a steep learning curve that consumed time disproportionate to the gains, especially for founders with no prior technical experience; (2) integration difficulties between tools—a phenomenon sometimes called 'automation debt', in which managing multiple disconnected platforms creates new operational overhead; and (3) a sense that automation creates a false confidence, encouraging founders to scale marketing spend before validating the core value proposition.</w:t>
      </w:r>
    </w:p>
    <w:p>
      <w:pPr>
        <w:pStyle w:val="Heading2"/>
        <w:spacing w:after="80" w:before="240"/>
      </w:pPr>
      <w:r>
        <w:rPr>
          <w:rFonts w:ascii="Times New Roman" w:cs="Times New Roman" w:eastAsia="Times New Roman" w:hAnsi="Times New Roman"/>
          <w:b/>
          <w:bCs/>
          <w:i/>
          <w:iCs/>
          <w:color w:val="2E5090"/>
          <w:sz w:val="26"/>
          <w:szCs w:val="26"/>
        </w:rPr>
        <w:t xml:space="preserve">4.3 Case Study Analysis</w:t>
      </w:r>
    </w:p>
    <w:p>
      <w:pPr>
        <w:spacing w:after="160" w:before="0" w:line="360" w:lineRule="auto"/>
        <w:ind w:firstLine="720"/>
        <w:jc w:val="both"/>
      </w:pPr>
      <w:r>
        <w:rPr>
          <w:rFonts w:ascii="Times New Roman" w:cs="Times New Roman" w:eastAsia="Times New Roman" w:hAnsi="Times New Roman"/>
          <w:sz w:val="24"/>
          <w:szCs w:val="24"/>
        </w:rPr>
        <w:t xml:space="preserve">The four case studies illuminate the mechanisms through which automation creates—or fails to create—value. Two of the cases (hereafter Venture A and Venture B) are automation-intensive; the other two (Venture C and Venture D) rely on traditional manual processes.</w:t>
      </w:r>
    </w:p>
    <w:p>
      <w:pPr>
        <w:spacing w:after="160" w:before="0" w:line="360" w:lineRule="auto"/>
        <w:ind w:firstLine="720"/>
        <w:jc w:val="both"/>
      </w:pPr>
      <w:r>
        <w:rPr>
          <w:rFonts w:ascii="Times New Roman" w:cs="Times New Roman" w:eastAsia="Times New Roman" w:hAnsi="Times New Roman"/>
          <w:sz w:val="24"/>
          <w:szCs w:val="24"/>
        </w:rPr>
        <w:t xml:space="preserve">Venture A is a B2C e-commerce startup founded in 2021 that uses Shopify with AI upselling plugins, Klaviyo for automated email flows, and ChatGPT-based customer service scripting. Its founder reports that automation reduced customer service headcount from a planned three employees to one, saving approximately $48,000 annually, and that email automation drives 38% of total revenue with zero incremental labour cost. The venture reached profitability in month 14, compared to a sector median of 22 months reported by Crunchbase.</w:t>
      </w:r>
    </w:p>
    <w:p>
      <w:pPr>
        <w:spacing w:after="160" w:before="0" w:line="360" w:lineRule="auto"/>
        <w:ind w:firstLine="720"/>
        <w:jc w:val="both"/>
      </w:pPr>
      <w:r>
        <w:rPr>
          <w:rFonts w:ascii="Times New Roman" w:cs="Times New Roman" w:eastAsia="Times New Roman" w:hAnsi="Times New Roman"/>
          <w:sz w:val="24"/>
          <w:szCs w:val="24"/>
        </w:rPr>
        <w:t xml:space="preserve">Venture B is a SaaS startup that used Bubble to build its MVP without any hired engineers, reaching its first 200 paying customers before seeking funding. The founder estimates that no-code development compressed the MVP timeline from 8 months (estimated cost with a developer team: $120,000) to 6 weeks (actual cost: $0 in labour, $50/month in platform fees). This directly addresses the 'running out of cash' failure cause by dramatically reducing early-stage burn.</w:t>
      </w:r>
    </w:p>
    <w:p>
      <w:pPr>
        <w:spacing w:after="160" w:before="0" w:line="360" w:lineRule="auto"/>
        <w:ind w:firstLine="720"/>
        <w:jc w:val="both"/>
      </w:pPr>
      <w:r>
        <w:rPr>
          <w:rFonts w:ascii="Times New Roman" w:cs="Times New Roman" w:eastAsia="Times New Roman" w:hAnsi="Times New Roman"/>
          <w:sz w:val="24"/>
          <w:szCs w:val="24"/>
        </w:rPr>
        <w:t xml:space="preserve">Venture C, a boutique marketing agency founded in 2020, relies on manual client communication, spreadsheet-based project tracking, and individual-created social media content. The founder expresses scepticism about automation tools, citing concerns about brand authenticity. Despite strong creative output, the agency struggles with client retention tracking and invoice management, both of which are automatable pain points. Revenue growth has been linear rather than scalable.</w:t>
      </w:r>
    </w:p>
    <w:p>
      <w:pPr>
        <w:spacing w:after="160" w:before="0" w:line="360" w:lineRule="auto"/>
        <w:ind w:firstLine="720"/>
        <w:jc w:val="both"/>
      </w:pPr>
      <w:r>
        <w:rPr>
          <w:rFonts w:ascii="Times New Roman" w:cs="Times New Roman" w:eastAsia="Times New Roman" w:hAnsi="Times New Roman"/>
          <w:sz w:val="24"/>
          <w:szCs w:val="24"/>
        </w:rPr>
        <w:t xml:space="preserve">Venture D, an early-stage food delivery startup, has experimented with automation but abandoned most tools due to integration complexity. The founder notes that the time spent configuring tools exceeded the time saved within the first three months. This case illustrates the risk of premature automation—implementing sophisticated tools before core processes are stable enough to automate productively.</w:t>
      </w:r>
    </w:p>
    <w:p>
      <w:pPr>
        <w:pStyle w:val="Heading2"/>
        <w:spacing w:after="80" w:before="240"/>
      </w:pPr>
      <w:r>
        <w:rPr>
          <w:rFonts w:ascii="Times New Roman" w:cs="Times New Roman" w:eastAsia="Times New Roman" w:hAnsi="Times New Roman"/>
          <w:b/>
          <w:bCs/>
          <w:i/>
          <w:iCs/>
          <w:color w:val="2E5090"/>
          <w:sz w:val="26"/>
          <w:szCs w:val="26"/>
        </w:rPr>
        <w:t xml:space="preserve">4.4 Synthesis: Extent, Conditions, and Limits of Automation's Impact</w:t>
      </w:r>
    </w:p>
    <w:p>
      <w:pPr>
        <w:spacing w:after="160" w:before="0" w:line="360" w:lineRule="auto"/>
        <w:ind w:firstLine="720"/>
        <w:jc w:val="both"/>
      </w:pPr>
      <w:r>
        <w:rPr>
          <w:rFonts w:ascii="Times New Roman" w:cs="Times New Roman" w:eastAsia="Times New Roman" w:hAnsi="Times New Roman"/>
          <w:sz w:val="24"/>
          <w:szCs w:val="24"/>
        </w:rPr>
        <w:t xml:space="preserve">Taken together, the three strands of evidence suggest that automation tools can meaningfully reduce startup failure risk in specific, bounded domains—particularly financial operations, customer-facing marketing, and MVP development speed. The effect is strongest when: (1) the startup operates in a digital-native sector; (2) founders have sufficient technical literacy to configure tools effectively; and (3) automation is introduced after core business processes have been validated rather than as a substitute for that validation.</w:t>
      </w:r>
    </w:p>
    <w:p>
      <w:pPr>
        <w:spacing w:after="160" w:before="0" w:line="360" w:lineRule="auto"/>
        <w:ind w:firstLine="720"/>
        <w:jc w:val="both"/>
      </w:pPr>
      <w:r>
        <w:rPr>
          <w:rFonts w:ascii="Times New Roman" w:cs="Times New Roman" w:eastAsia="Times New Roman" w:hAnsi="Times New Roman"/>
          <w:sz w:val="24"/>
          <w:szCs w:val="24"/>
        </w:rPr>
        <w:t xml:space="preserve">The research also surfaces three important qualifications. First, the most common failure cause—product-market fit—is not substantially mitigated by automation, which means that no amount of operational efficiency can save a startup whose core value proposition is flawed. Second, automation can introduce new failure risks, notably over-reliance on third-party platforms (single points of failure), tool proliferation overhead, and a false sense of scaling readiness. Third, the benefits of automation are unevenly distributed: founders with prior technical experience, access to digital infrastructure, and operating in information-intensive sectors gain disproportionately more than those without these advantages.</w:t>
      </w:r>
    </w:p>
    <w:p>
      <w:pPr>
        <w:spacing w:after="160" w:before="0" w:line="360" w:lineRule="auto"/>
        <w:ind w:firstLine="720"/>
        <w:jc w:val="both"/>
      </w:pPr>
      <w:r>
        <w:rPr>
          <w:rFonts w:ascii="Times New Roman" w:cs="Times New Roman" w:eastAsia="Times New Roman" w:hAnsi="Times New Roman"/>
          <w:sz w:val="24"/>
          <w:szCs w:val="24"/>
        </w:rPr>
        <w:t xml:space="preserve">These findings position automation not as a silver bullet for startup failure—a framing common in practitioner media—but as a conditionally effective risk-reduction instrument that complements, rather than replaces, the fundamentals of sound entrepreneurship: a validated product, a capable team, and disciplined financial management.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i/>
      <w:i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2026-05-12T13:40:27.449Z</dcterms:created>
  <dcterms:modified xsi:type="dcterms:W3CDTF">2026-05-12T13:40:27.450Z</dcterms:modified>
</cp:coreProperties>
</file>

<file path=docProps/custom.xml><?xml version="1.0" encoding="utf-8"?>
<Properties xmlns="http://schemas.openxmlformats.org/officeDocument/2006/custom-properties" xmlns:vt="http://schemas.openxmlformats.org/officeDocument/2006/docPropsVTypes"/>
</file>