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spacing w:before="0" w:after="320"/>
        <w:jc w:val="center"/>
      </w:pPr>
      <w:r>
        <w:rPr>
          <w:rFonts w:ascii="Arial" w:hAnsi="Arial"/>
          <w:b/>
          <w:color w:val="2C5E3B"/>
          <w:sz w:val="48"/>
        </w:rPr>
        <w:t>PROYECTO ARTÍSTICO SUSTENTABLE</w:t>
      </w:r>
    </w:p>
    <w:p>
      <w:pPr>
        <w:spacing w:before="0" w:after="320"/>
        <w:jc w:val="center"/>
      </w:pPr>
      <w:r>
        <w:rPr>
          <w:rFonts w:ascii="Arial" w:hAnsi="Arial"/>
          <w:b/>
          <w:color w:val="2C5E3B"/>
          <w:sz w:val="56"/>
        </w:rPr>
        <w:t>"COMPOST-GOTCHI" 🌱</w:t>
      </w:r>
    </w:p>
    <w:p>
      <w:pPr>
        <w:spacing w:after="600"/>
        <w:jc w:val="center"/>
      </w:pPr>
      <w:r>
        <w:rPr>
          <w:i/>
          <w:color w:val="555555"/>
          <w:sz w:val="26"/>
        </w:rPr>
        <w:t>Aplicación web educativa e interactiva para la gestión</w:t>
        <w:br/>
        <w:t>de residuos orgánicos mediante la gamificación</w:t>
      </w:r>
    </w:p>
    <w:tbl>
      <w:tblPr>
        <w:tblW w:type="auto" w:w="0"/>
        <w:jc w:val="center"/>
        <w:tblLook w:firstColumn="1" w:firstRow="1" w:lastColumn="0" w:lastRow="0" w:noHBand="0" w:noVBand="1" w:val="04A0"/>
      </w:tblPr>
      <w:tblGrid>
        <w:gridCol w:w="4703"/>
        <w:gridCol w:w="4703"/>
      </w:tblGrid>
      <w:tr>
        <w:tc>
          <w:tcPr>
            <w:tcW w:type="dxa" w:w="4703"/>
            <w:tcMar>
              <w:top w:w="60" w:type="dxa"/>
              <w:bottom w:w="60" w:type="dxa"/>
              <w:left w:w="100" w:type="dxa"/>
              <w:right w:w="100" w:type="dxa"/>
            </w:tcMar>
          </w:tcPr>
          <w:p>
            <w:r>
              <w:rPr>
                <w:b/>
                <w:color w:val="8D5B4C"/>
              </w:rPr>
              <w:t>Curso:</w:t>
            </w:r>
          </w:p>
        </w:tc>
        <w:tc>
          <w:tcPr>
            <w:tcW w:type="dxa" w:w="4703"/>
            <w:tcMar>
              <w:top w:w="60" w:type="dxa"/>
              <w:bottom w:w="60" w:type="dxa"/>
              <w:left w:w="100" w:type="dxa"/>
              <w:right w:w="100" w:type="dxa"/>
            </w:tcMar>
          </w:tcPr>
          <w:p>
            <w:r>
              <w:t>Desarrollo Sustentable — Tercera Unidad</w:t>
            </w:r>
          </w:p>
        </w:tc>
      </w:tr>
      <w:tr>
        <w:tc>
          <w:tcPr>
            <w:tcW w:type="dxa" w:w="4703"/>
            <w:tcMar>
              <w:top w:w="60" w:type="dxa"/>
              <w:bottom w:w="60" w:type="dxa"/>
              <w:left w:w="100" w:type="dxa"/>
              <w:right w:w="100" w:type="dxa"/>
            </w:tcMar>
          </w:tcPr>
          <w:p>
            <w:r>
              <w:rPr>
                <w:b/>
                <w:color w:val="8D5B4C"/>
              </w:rPr>
              <w:t>Público objetivo:</w:t>
            </w:r>
          </w:p>
        </w:tc>
        <w:tc>
          <w:tcPr>
            <w:tcW w:type="dxa" w:w="4703"/>
            <w:tcMar>
              <w:top w:w="60" w:type="dxa"/>
              <w:bottom w:w="60" w:type="dxa"/>
              <w:left w:w="100" w:type="dxa"/>
              <w:right w:w="100" w:type="dxa"/>
            </w:tcMar>
          </w:tcPr>
          <w:p>
            <w:r>
              <w:t>Estudiantes de EBR y público general</w:t>
            </w:r>
          </w:p>
        </w:tc>
      </w:tr>
      <w:tr>
        <w:tc>
          <w:tcPr>
            <w:tcW w:type="dxa" w:w="4703"/>
            <w:tcMar>
              <w:top w:w="60" w:type="dxa"/>
              <w:bottom w:w="60" w:type="dxa"/>
              <w:left w:w="100" w:type="dxa"/>
              <w:right w:w="100" w:type="dxa"/>
            </w:tcMar>
          </w:tcPr>
          <w:p>
            <w:r>
              <w:rPr>
                <w:b/>
                <w:color w:val="8D5B4C"/>
              </w:rPr>
              <w:t>Docente:</w:t>
            </w:r>
          </w:p>
        </w:tc>
        <w:tc>
          <w:tcPr>
            <w:tcW w:type="dxa" w:w="4703"/>
            <w:tcMar>
              <w:top w:w="60" w:type="dxa"/>
              <w:bottom w:w="60" w:type="dxa"/>
              <w:left w:w="100" w:type="dxa"/>
              <w:right w:w="100" w:type="dxa"/>
            </w:tcMar>
          </w:tcPr>
          <w:p>
            <w:r>
              <w:t>Mag. Maruja Huayhuaca Hermoza</w:t>
            </w:r>
          </w:p>
        </w:tc>
      </w:tr>
      <w:tr>
        <w:tc>
          <w:tcPr>
            <w:tcW w:type="dxa" w:w="4703"/>
            <w:tcMar>
              <w:top w:w="60" w:type="dxa"/>
              <w:bottom w:w="60" w:type="dxa"/>
              <w:left w:w="100" w:type="dxa"/>
              <w:right w:w="100" w:type="dxa"/>
            </w:tcMar>
          </w:tcPr>
          <w:p>
            <w:r>
              <w:rPr>
                <w:b/>
                <w:color w:val="8D5B4C"/>
              </w:rPr>
              <w:t>Contexto geográfico:</w:t>
            </w:r>
          </w:p>
        </w:tc>
        <w:tc>
          <w:tcPr>
            <w:tcW w:type="dxa" w:w="4703"/>
            <w:tcMar>
              <w:top w:w="60" w:type="dxa"/>
              <w:bottom w:w="60" w:type="dxa"/>
              <w:left w:w="100" w:type="dxa"/>
              <w:right w:w="100" w:type="dxa"/>
            </w:tcMar>
          </w:tcPr>
          <w:p>
            <w:r>
              <w:t>Cusco, Perú</w:t>
            </w:r>
          </w:p>
        </w:tc>
      </w:tr>
      <w:tr>
        <w:tc>
          <w:tcPr>
            <w:tcW w:type="dxa" w:w="4703"/>
            <w:tcMar>
              <w:top w:w="60" w:type="dxa"/>
              <w:bottom w:w="60" w:type="dxa"/>
              <w:left w:w="100" w:type="dxa"/>
              <w:right w:w="100" w:type="dxa"/>
            </w:tcMar>
          </w:tcPr>
          <w:p>
            <w:r>
              <w:rPr>
                <w:b/>
                <w:color w:val="8D5B4C"/>
              </w:rPr>
              <w:t>Año:</w:t>
            </w:r>
          </w:p>
        </w:tc>
        <w:tc>
          <w:tcPr>
            <w:tcW w:type="dxa" w:w="4703"/>
            <w:tcMar>
              <w:top w:w="60" w:type="dxa"/>
              <w:bottom w:w="60" w:type="dxa"/>
              <w:left w:w="100" w:type="dxa"/>
              <w:right w:w="100" w:type="dxa"/>
            </w:tcMar>
          </w:tcPr>
          <w:p>
            <w:r>
              <w:t>2026</w:t>
            </w:r>
          </w:p>
        </w:tc>
      </w:tr>
    </w:tbl>
    <w:p>
      <w:r>
        <w:br w:type="page"/>
      </w:r>
    </w:p>
    <w:p>
      <w:pPr>
        <w:keepNext/>
        <w:spacing w:before="320" w:after="120"/>
      </w:pPr>
      <w:r>
        <w:rPr>
          <w:rFonts w:ascii="Arial" w:hAnsi="Arial"/>
          <w:b/>
          <w:color w:val="2C5E3B"/>
          <w:sz w:val="30"/>
        </w:rPr>
        <w:t>1. Introducción</w:t>
      </w:r>
    </w:p>
    <w:p>
      <w:pPr>
        <w:spacing w:after="160" w:line="276" w:lineRule="auto"/>
      </w:pPr>
      <w:r>
        <w:rPr>
          <w:color w:val="2B2B2B"/>
        </w:rPr>
        <w:t>En la región de Cusco, más del 50 % de los residuos sólidos urbanos son de origen orgánico. Sin embargo, la mayor parte termina en vertederos donde se descompone de forma anaeróbica, liberando metano —un gas de efecto invernadero— y lixiviados que contaminan suelos y ríos. El compostaje doméstico es una solución probada, económica y replicable, pero su adopción se ve frenada por la falta de información práctica y la percepción de que resulta complicado o maloliente.</w:t>
      </w:r>
    </w:p>
    <w:p>
      <w:pPr>
        <w:spacing w:after="160" w:line="276" w:lineRule="auto"/>
      </w:pPr>
      <w:r>
        <w:rPr>
          <w:color w:val="2B2B2B"/>
        </w:rPr>
        <w:t>Compost-gotchi es una aplicación web interactiva que transforma la enseñanza del compostaje en una experiencia lúdica. Funciona como una mascota virtual (al estilo Tamagotchi) cuyo bienestar depende de las decisiones del usuario: equilibrar la humedad, el oxígeno, la temperatura y la relación carbono-nitrógeno. Está diseñada para estudiantes de Educación Básica Regular (EBR) de Cusco, aunque su interfaz intuitiva y sus fundamentos científicos la hacen accesible para cualquier público interesado en la gestión sostenible de residuos.</w:t>
      </w:r>
    </w:p>
    <w:tbl>
      <w:tblPr>
        <w:tblW w:type="auto" w:w="0"/>
        <w:jc w:val="center"/>
        <w:tblLook w:firstColumn="1" w:firstRow="1" w:lastColumn="0" w:lastRow="0" w:noHBand="0" w:noVBand="1" w:val="04A0"/>
      </w:tblPr>
      <w:tblGrid>
        <w:gridCol w:w="9406"/>
      </w:tblGrid>
      <w:tr>
        <w:tc>
          <w:tcPr>
            <w:tcW w:type="dxa" w:w="9406"/>
            <w:shd w:fill="F0F5F1"/>
            <w:tcMar>
              <w:top w:w="140" w:type="dxa"/>
              <w:bottom w:w="140" w:type="dxa"/>
              <w:left w:w="200" w:type="dxa"/>
              <w:right w:w="200" w:type="dxa"/>
            </w:tcMar>
            <w:tcBorders>
              <w:top w:val="none"/>
              <w:left w:val="single" w:sz="24" w:space="0" w:color="2C5E3B"/>
              <w:bottom w:val="none"/>
              <w:right w:val="none"/>
            </w:tcBorders>
          </w:tcPr>
          <w:p>
            <w:r>
              <w:rPr>
                <w:i/>
                <w:color w:val="3E6E4D"/>
                <w:sz w:val="21"/>
              </w:rPr>
              <w:t>Propósito: Educar y concientizar sobre la separación en origen y el tratamiento biológico de residuos orgánicos a través de un simulador interactivo gratuito, alineado con los Objetivos de Desarrollo Sostenible (ODS 12 y 13) de la Agenda 2030.</w:t>
            </w:r>
          </w:p>
        </w:tc>
      </w:tr>
    </w:tbl>
    <w:p/>
    <w:p>
      <w:pPr>
        <w:keepNext/>
        <w:spacing w:before="200" w:after="80"/>
      </w:pPr>
      <w:r>
        <w:rPr>
          <w:rFonts w:ascii="Arial" w:hAnsi="Arial"/>
          <w:b/>
          <w:color w:val="8D5B4C"/>
          <w:sz w:val="24"/>
        </w:rPr>
        <w:t>Objetivos del proyecto</w:t>
      </w:r>
    </w:p>
    <w:p>
      <w:pPr>
        <w:pStyle w:val="ListBullet"/>
        <w:spacing w:after="80" w:line="276" w:lineRule="auto"/>
      </w:pPr>
      <w:r>
        <w:rPr>
          <w:b/>
          <w:color w:val="2B2B2B"/>
        </w:rPr>
        <w:t xml:space="preserve">General: </w:t>
      </w:r>
      <w:r>
        <w:rPr>
          <w:color w:val="2B2B2B"/>
        </w:rPr>
        <w:t>Simular con fidelidad el ciclo biológico del compostaje (fases mesófila, termófila y de maduración) para que el usuario aprenda experimentando.</w:t>
      </w:r>
    </w:p>
    <w:p>
      <w:pPr>
        <w:pStyle w:val="ListBullet"/>
        <w:spacing w:after="80" w:line="276" w:lineRule="auto"/>
      </w:pPr>
      <w:r>
        <w:rPr>
          <w:color w:val="2B2B2B"/>
        </w:rPr>
        <w:t>Enseñar a diferenciar residuos verdes (nitrógeno) de marrones (carbono) y a mantener la proporción C:N ideal de 30:1.</w:t>
      </w:r>
    </w:p>
    <w:p>
      <w:pPr>
        <w:pStyle w:val="ListBullet"/>
        <w:spacing w:after="80" w:line="276" w:lineRule="auto"/>
      </w:pPr>
      <w:r>
        <w:rPr>
          <w:color w:val="2B2B2B"/>
        </w:rPr>
        <w:t>Mostrar las consecuencias inmediatas de cada decisión (exceso de agua, falta de oxígeno, temperatura extrema) en un entorno sin riesgo.</w:t>
      </w:r>
    </w:p>
    <w:p>
      <w:pPr>
        <w:pStyle w:val="ListBullet"/>
        <w:spacing w:after="80" w:line="276" w:lineRule="auto"/>
      </w:pPr>
      <w:r>
        <w:rPr>
          <w:color w:val="2B2B2B"/>
        </w:rPr>
        <w:t>Fomentar la clasificación correcta de residuos mediante minijuegos de reciclaje, balance y emergencias.</w:t>
      </w:r>
    </w:p>
    <w:p>
      <w:pPr>
        <w:pStyle w:val="ListBullet"/>
        <w:spacing w:after="80" w:line="276" w:lineRule="auto"/>
      </w:pPr>
      <w:r>
        <w:rPr>
          <w:color w:val="2B2B2B"/>
        </w:rPr>
        <w:t>Conectar la educación digital con la práctica real del compostaje en hogares y escuelas de Cusco.</w:t>
      </w:r>
    </w:p>
    <w:p>
      <w:pPr>
        <w:keepNext/>
        <w:spacing w:before="320" w:after="120"/>
      </w:pPr>
      <w:r>
        <w:rPr>
          <w:rFonts w:ascii="Arial" w:hAnsi="Arial"/>
          <w:b/>
          <w:color w:val="2C5E3B"/>
          <w:sz w:val="30"/>
        </w:rPr>
        <w:t>2. Dimensión ambiental</w:t>
      </w:r>
    </w:p>
    <w:p>
      <w:pPr>
        <w:spacing w:after="160" w:line="276" w:lineRule="auto"/>
      </w:pPr>
      <w:r>
        <w:rPr>
          <w:color w:val="2B2B2B"/>
        </w:rPr>
        <w:t>El proyecto contribuye a la sostenibilidad ambiental desde dos frentes complementarios: la naturaleza digital de la herramienta y el cambio de hábitos que promueve.</w:t>
      </w:r>
    </w:p>
    <w:p>
      <w:pPr>
        <w:keepNext/>
        <w:spacing w:before="200" w:after="80"/>
      </w:pPr>
      <w:r>
        <w:rPr>
          <w:rFonts w:ascii="Arial" w:hAnsi="Arial"/>
          <w:b/>
          <w:color w:val="8D5B4C"/>
          <w:sz w:val="24"/>
        </w:rPr>
        <w:t>Desmaterialización</w:t>
      </w:r>
    </w:p>
    <w:p>
      <w:pPr>
        <w:spacing w:after="160" w:line="276" w:lineRule="auto"/>
      </w:pPr>
      <w:r>
        <w:rPr>
          <w:color w:val="2B2B2B"/>
        </w:rPr>
        <w:t>Al ser una aplicación web autocontenida (HTML, CSS y JavaScript), Compost-gotchi reemplaza folletos, maquetas y carteles impresos. Se distribuye sin costo de materiales y funciona en cualquier dispositivo con navegador, incluso sin conexión permanente a internet.</w:t>
      </w:r>
    </w:p>
    <w:p>
      <w:pPr>
        <w:keepNext/>
        <w:spacing w:before="200" w:after="80"/>
      </w:pPr>
      <w:r>
        <w:rPr>
          <w:rFonts w:ascii="Arial" w:hAnsi="Arial"/>
          <w:b/>
          <w:color w:val="8D5B4C"/>
          <w:sz w:val="24"/>
        </w:rPr>
        <w:t>Filosofía «Cero Basura»</w:t>
      </w:r>
    </w:p>
    <w:p>
      <w:pPr>
        <w:spacing w:after="160" w:line="276" w:lineRule="auto"/>
      </w:pPr>
      <w:r>
        <w:rPr>
          <w:color w:val="2B2B2B"/>
        </w:rPr>
        <w:t>El simulador enseña a cerrar el ciclo biológico de la materia orgánica: los restos de cocina regresan al suelo como abono, evitando que generen metano en vertederos. Dentro del juego, cada obra de compost finalizada representa toneladas potenciales de basura que dejaron de contaminar. Además, el propio software no genera residuos: su código es modular, de código abierto y actualizable sin obsolescencia programada.</w:t>
      </w:r>
    </w:p>
    <w:p>
      <w:pPr>
        <w:keepNext/>
        <w:spacing w:before="320" w:after="120"/>
      </w:pPr>
      <w:r>
        <w:rPr>
          <w:rFonts w:ascii="Arial" w:hAnsi="Arial"/>
          <w:b/>
          <w:color w:val="2C5E3B"/>
          <w:sz w:val="30"/>
        </w:rPr>
        <w:t>3. Dimensión social</w:t>
      </w:r>
    </w:p>
    <w:p>
      <w:pPr>
        <w:spacing w:after="160" w:line="276" w:lineRule="auto"/>
      </w:pPr>
      <w:r>
        <w:rPr>
          <w:color w:val="2B2B2B"/>
        </w:rPr>
        <w:t>Compost-gotchi está pensado para funcionar tanto de forma individual como colectiva.</w:t>
      </w:r>
    </w:p>
    <w:p>
      <w:pPr>
        <w:pStyle w:val="ListBullet"/>
        <w:spacing w:after="80" w:line="276" w:lineRule="auto"/>
      </w:pPr>
      <w:r>
        <w:rPr>
          <w:b/>
          <w:color w:val="2B2B2B"/>
        </w:rPr>
        <w:t xml:space="preserve">Accesibilidad: </w:t>
      </w:r>
      <w:r>
        <w:rPr>
          <w:color w:val="2B2B2B"/>
        </w:rPr>
        <w:t>La interfaz emplea iconos grandes, emojis y animaciones SVG reactivas (la mascota gesticula alegría, tristeza, asfixia o mal olor) para que usuarios de distintas edades y niveles de lectura comprendan el estado de la compostera de un vistazo.</w:t>
      </w:r>
    </w:p>
    <w:p>
      <w:pPr>
        <w:pStyle w:val="ListBullet"/>
        <w:spacing w:after="80" w:line="276" w:lineRule="auto"/>
      </w:pPr>
      <w:r>
        <w:rPr>
          <w:b/>
          <w:color w:val="2B2B2B"/>
        </w:rPr>
        <w:t xml:space="preserve">Trabajo colaborativo: </w:t>
      </w:r>
      <w:r>
        <w:rPr>
          <w:color w:val="2B2B2B"/>
        </w:rPr>
        <w:t>En el aula, los estudiantes pueden debatir en equipo las decisiones de mantenimiento (¿regamos?, ¿volteamos?, ¿por qué huele mal?) y comparar estrategias entre grupos, reproduciendo dinámicas de asamblea y toma de decisiones colectivas.</w:t>
      </w:r>
    </w:p>
    <w:p>
      <w:pPr>
        <w:pStyle w:val="ListBullet"/>
        <w:spacing w:after="80" w:line="276" w:lineRule="auto"/>
      </w:pPr>
      <w:r>
        <w:rPr>
          <w:b/>
          <w:color w:val="2B2B2B"/>
        </w:rPr>
        <w:t xml:space="preserve">Extensión familiar: </w:t>
      </w:r>
      <w:r>
        <w:rPr>
          <w:color w:val="2B2B2B"/>
        </w:rPr>
        <w:t>Los conocimientos adquiridos en la escuela se trasladan al hogar: el estudiante puede guiar a su familia en la construcción de una compostera real con materiales locales.</w:t>
      </w:r>
    </w:p>
    <w:p>
      <w:pPr>
        <w:keepNext/>
        <w:spacing w:before="320" w:after="120"/>
      </w:pPr>
      <w:r>
        <w:rPr>
          <w:rFonts w:ascii="Arial" w:hAnsi="Arial"/>
          <w:b/>
          <w:color w:val="2C5E3B"/>
          <w:sz w:val="30"/>
        </w:rPr>
        <w:t>4. Dimensión cultural</w:t>
      </w:r>
    </w:p>
    <w:p>
      <w:pPr>
        <w:spacing w:after="160" w:line="276" w:lineRule="auto"/>
      </w:pPr>
      <w:r>
        <w:rPr>
          <w:color w:val="2B2B2B"/>
        </w:rPr>
        <w:t>El proyecto se sitúa en Cusco, una región con una herencia profunda de respeto a la naturaleza. Por ello, Compost-gotchi no adopta un enfoque exclusivamente técnico, sino que dialoga con los saberes andinos.</w:t>
      </w:r>
    </w:p>
    <w:p>
      <w:pPr>
        <w:pStyle w:val="ListBullet"/>
        <w:spacing w:after="80" w:line="276" w:lineRule="auto"/>
      </w:pPr>
      <w:r>
        <w:rPr>
          <w:b/>
          <w:color w:val="2B2B2B"/>
        </w:rPr>
        <w:t xml:space="preserve">Reciprocidad: </w:t>
      </w:r>
      <w:r>
        <w:rPr>
          <w:color w:val="2B2B2B"/>
        </w:rPr>
        <w:t>El concepto de compostaje se reinterpreta bajo el principio del Ayni (reciprocidad andina): devolver nutrientes a la Pachamama en agradecimiento por los alimentos que nos brinda.</w:t>
      </w:r>
    </w:p>
    <w:p>
      <w:pPr>
        <w:pStyle w:val="ListBullet"/>
        <w:spacing w:after="80" w:line="276" w:lineRule="auto"/>
      </w:pPr>
      <w:r>
        <w:rPr>
          <w:b/>
          <w:color w:val="2B2B2B"/>
        </w:rPr>
        <w:t xml:space="preserve">Recursos locales: </w:t>
      </w:r>
      <w:r>
        <w:rPr>
          <w:color w:val="2B2B2B"/>
        </w:rPr>
        <w:t>Se prioriza el uso de insumos locales de Cusco (aserrín de carpinterías, hojas secas de valles interandinos, mermas de mercados regionales), reduciendo el impacto logístico y fortaleciendo la identidad del estudiante con su geografía y tradiciones agrícolas.</w:t>
      </w:r>
    </w:p>
    <w:p>
      <w:pPr>
        <w:keepNext/>
        <w:spacing w:before="320" w:after="120"/>
      </w:pPr>
      <w:r>
        <w:rPr>
          <w:rFonts w:ascii="Arial" w:hAnsi="Arial"/>
          <w:b/>
          <w:color w:val="2C5E3B"/>
          <w:sz w:val="30"/>
        </w:rPr>
        <w:t>5. Dimensión económica</w:t>
      </w:r>
    </w:p>
    <w:p>
      <w:pPr>
        <w:pStyle w:val="ListBullet"/>
        <w:spacing w:after="80" w:line="276" w:lineRule="auto"/>
      </w:pPr>
      <w:r>
        <w:rPr>
          <w:b/>
          <w:color w:val="2B2B2B"/>
        </w:rPr>
        <w:t xml:space="preserve">Costo cero de software: </w:t>
      </w:r>
      <w:r>
        <w:rPr>
          <w:color w:val="2B2B2B"/>
        </w:rPr>
        <w:t>Desarrollado íntegramente con tecnologías libres (HTML5, CSS3, JavaScript ES6). No requiere licencias, bases de datos comerciales ni servidores dedicados.</w:t>
      </w:r>
    </w:p>
    <w:p>
      <w:pPr>
        <w:pStyle w:val="ListBullet"/>
        <w:spacing w:after="80" w:line="276" w:lineRule="auto"/>
      </w:pPr>
      <w:r>
        <w:rPr>
          <w:b/>
          <w:color w:val="2B2B2B"/>
        </w:rPr>
        <w:t xml:space="preserve">Sin dependencia de red: </w:t>
      </w:r>
      <w:r>
        <w:rPr>
          <w:color w:val="2B2B2B"/>
        </w:rPr>
        <w:t>La partida se guarda en el navegador (localStorage), sin consumir datos de internet tras la carga inicial. Ideal para escuelas rurales con conectividad limitada.</w:t>
      </w:r>
    </w:p>
    <w:p>
      <w:pPr>
        <w:pStyle w:val="ListBullet"/>
        <w:spacing w:after="80" w:line="276" w:lineRule="auto"/>
      </w:pPr>
      <w:r>
        <w:rPr>
          <w:b/>
          <w:color w:val="2B2B2B"/>
        </w:rPr>
        <w:t xml:space="preserve">Distribución abierta: </w:t>
      </w:r>
      <w:r>
        <w:rPr>
          <w:color w:val="2B2B2B"/>
        </w:rPr>
        <w:t>Cualquier institución puede copiar, modificar y redistribuir el proyecto sin costo para campañas educativas o comunitarias.</w:t>
      </w:r>
    </w:p>
    <w:p>
      <w:pPr>
        <w:keepNext/>
        <w:spacing w:before="320" w:after="120"/>
      </w:pPr>
      <w:r>
        <w:rPr>
          <w:rFonts w:ascii="Arial" w:hAnsi="Arial"/>
          <w:b/>
          <w:color w:val="2C5E3B"/>
          <w:sz w:val="30"/>
        </w:rPr>
        <w:t>6. Innovación y creatividad</w:t>
      </w:r>
    </w:p>
    <w:p>
      <w:pPr>
        <w:spacing w:after="160" w:line="276" w:lineRule="auto"/>
      </w:pPr>
      <w:r>
        <w:rPr>
          <w:color w:val="2B2B2B"/>
        </w:rPr>
        <w:t>La innovación central consiste en convertir la microbiología del compostaje —una disciplina abstracta para muchos estudiantes— en una experiencia empática e interactiva. La compostera deja de ser un montón de tierra y pasa a ser una mascota viva que reacciona a cada acción del usuario.</w:t>
      </w:r>
    </w:p>
    <w:p>
      <w:pPr>
        <w:keepNext/>
        <w:spacing w:before="200" w:after="80"/>
      </w:pPr>
      <w:r>
        <w:rPr>
          <w:rFonts w:ascii="Arial" w:hAnsi="Arial"/>
          <w:b/>
          <w:color w:val="8D5B4C"/>
          <w:sz w:val="24"/>
        </w:rPr>
        <w:t>Motor de simulación biológica</w:t>
      </w:r>
    </w:p>
    <w:p>
      <w:pPr>
        <w:pStyle w:val="ListBullet"/>
        <w:spacing w:after="80" w:line="276" w:lineRule="auto"/>
      </w:pPr>
      <w:r>
        <w:rPr>
          <w:color w:val="2B2B2B"/>
        </w:rPr>
        <w:t>Tres climas diferenciados (Árido, Templado, Tropical) que modifican la evaporación y la retención de calor.</w:t>
      </w:r>
    </w:p>
    <w:p>
      <w:pPr>
        <w:pStyle w:val="ListBullet"/>
        <w:spacing w:after="80" w:line="276" w:lineRule="auto"/>
      </w:pPr>
      <w:r>
        <w:rPr>
          <w:color w:val="2B2B2B"/>
        </w:rPr>
        <w:t>Tres métodos de compostaje (Pila Tradicional, Vermicompostera, Giratoria) con límites propios de temperatura, humedad y restricciones de materiales.</w:t>
      </w:r>
    </w:p>
    <w:p>
      <w:pPr>
        <w:pStyle w:val="ListBullet"/>
        <w:spacing w:after="80" w:line="276" w:lineRule="auto"/>
      </w:pPr>
      <w:r>
        <w:rPr>
          <w:color w:val="2B2B2B"/>
        </w:rPr>
        <w:t>Cálculo dinámico de eficiencia basado en humedad, oxígeno y balance C:N.</w:t>
      </w:r>
    </w:p>
    <w:p>
      <w:pPr>
        <w:keepNext/>
        <w:spacing w:before="200" w:after="80"/>
      </w:pPr>
      <w:r>
        <w:rPr>
          <w:rFonts w:ascii="Arial" w:hAnsi="Arial"/>
          <w:b/>
          <w:color w:val="8D5B4C"/>
          <w:sz w:val="24"/>
        </w:rPr>
        <w:t>Mecánicas de gamificación</w:t>
      </w:r>
    </w:p>
    <w:p>
      <w:pPr>
        <w:pStyle w:val="ListBullet"/>
        <w:spacing w:after="80" w:line="276" w:lineRule="auto"/>
      </w:pPr>
      <w:r>
        <w:rPr>
          <w:color w:val="2B2B2B"/>
        </w:rPr>
        <w:t>Sistema de experiencia (XP) y niveles (Novato → Experto Compostador) que recompensan el buen mantenimiento diario.</w:t>
      </w:r>
    </w:p>
    <w:p>
      <w:pPr>
        <w:pStyle w:val="ListBullet"/>
        <w:spacing w:after="80" w:line="276" w:lineRule="auto"/>
      </w:pPr>
      <w:r>
        <w:rPr>
          <w:color w:val="2B2B2B"/>
        </w:rPr>
        <w:t>Ocho logros desbloqueables vinculados a hitos reales del compostaje (fase termófila, cero olores, reciclaje constante).</w:t>
      </w:r>
    </w:p>
    <w:p>
      <w:pPr>
        <w:pStyle w:val="ListBullet"/>
        <w:spacing w:after="80" w:line="276" w:lineRule="auto"/>
      </w:pPr>
      <w:r>
        <w:rPr>
          <w:color w:val="2B2B2B"/>
        </w:rPr>
        <w:t>Tres minijuegos educativos: Clasificación de residuos, Taller de proporción C:N y Quiz de emergencia.</w:t>
      </w:r>
    </w:p>
    <w:p>
      <w:pPr>
        <w:keepNext/>
        <w:spacing w:before="200" w:after="80"/>
      </w:pPr>
      <w:r>
        <w:rPr>
          <w:rFonts w:ascii="Arial" w:hAnsi="Arial"/>
          <w:b/>
          <w:color w:val="8D5B4C"/>
          <w:sz w:val="24"/>
        </w:rPr>
        <w:t>Mascota reactiva en SVG</w:t>
      </w:r>
    </w:p>
    <w:p>
      <w:pPr>
        <w:pStyle w:val="ListBullet"/>
        <w:spacing w:after="80" w:line="276" w:lineRule="auto"/>
      </w:pPr>
      <w:r>
        <w:rPr>
          <w:color w:val="2B2B2B"/>
        </w:rPr>
        <w:t>Expresiones faciales que cambian según la salud del ecosistema (sonrisa, tristeza, boca neutra).</w:t>
      </w:r>
    </w:p>
    <w:p>
      <w:pPr>
        <w:pStyle w:val="ListBullet"/>
        <w:spacing w:after="80" w:line="276" w:lineRule="auto"/>
      </w:pPr>
      <w:r>
        <w:rPr>
          <w:color w:val="2B2B2B"/>
        </w:rPr>
        <w:t>Efectos visuales de vapor, grietas de sequedad, encharcamiento, nubes de mal olor y gotas de sudor.</w:t>
      </w:r>
    </w:p>
    <w:p>
      <w:pPr>
        <w:keepNext/>
        <w:spacing w:before="320" w:after="120"/>
      </w:pPr>
      <w:r>
        <w:rPr>
          <w:rFonts w:ascii="Arial" w:hAnsi="Arial"/>
          <w:b/>
          <w:color w:val="2C5E3B"/>
          <w:sz w:val="30"/>
        </w:rPr>
        <w:t>7. Planificación</w:t>
      </w:r>
    </w:p>
    <w:p>
      <w:pPr>
        <w:spacing w:after="160" w:line="276" w:lineRule="auto"/>
      </w:pPr>
      <w:r>
        <w:rPr>
          <w:color w:val="2B2B2B"/>
        </w:rPr>
        <w:t>El proyecto se organiza en cuatro fases:</w:t>
      </w:r>
    </w:p>
    <w:tbl>
      <w:tblPr>
        <w:tblStyle w:val="TableGrid"/>
        <w:tblW w:type="auto" w:w="0"/>
        <w:tblLook w:firstColumn="1" w:firstRow="1" w:lastColumn="0" w:lastRow="0" w:noHBand="0" w:noVBand="1" w:val="04A0"/>
      </w:tblPr>
      <w:tblGrid>
        <w:gridCol w:w="3135"/>
        <w:gridCol w:w="3135"/>
        <w:gridCol w:w="3135"/>
      </w:tblGrid>
      <w:tr>
        <w:tc>
          <w:tcPr>
            <w:tcW w:type="dxa" w:w="3135"/>
            <w:shd w:fill="2C5E3B"/>
            <w:tcMar>
              <w:top w:w="100" w:type="dxa"/>
              <w:bottom w:w="100" w:type="dxa"/>
              <w:left w:w="120" w:type="dxa"/>
              <w:right w:w="120" w:type="dxa"/>
            </w:tcMar>
          </w:tcPr>
          <w:p>
            <w:r>
              <w:rPr>
                <w:b/>
                <w:color w:val="FFFFFF"/>
              </w:rPr>
              <w:t>Fase</w:t>
            </w:r>
          </w:p>
        </w:tc>
        <w:tc>
          <w:tcPr>
            <w:tcW w:type="dxa" w:w="3135"/>
            <w:shd w:fill="2C5E3B"/>
            <w:tcMar>
              <w:top w:w="100" w:type="dxa"/>
              <w:bottom w:w="100" w:type="dxa"/>
              <w:left w:w="120" w:type="dxa"/>
              <w:right w:w="120" w:type="dxa"/>
            </w:tcMar>
          </w:tcPr>
          <w:p>
            <w:r>
              <w:rPr>
                <w:b/>
                <w:color w:val="FFFFFF"/>
              </w:rPr>
              <w:t>Actividades</w:t>
            </w:r>
          </w:p>
        </w:tc>
        <w:tc>
          <w:tcPr>
            <w:tcW w:type="dxa" w:w="3135"/>
            <w:shd w:fill="2C5E3B"/>
            <w:tcMar>
              <w:top w:w="100" w:type="dxa"/>
              <w:bottom w:w="100" w:type="dxa"/>
              <w:left w:w="120" w:type="dxa"/>
              <w:right w:w="120" w:type="dxa"/>
            </w:tcMar>
          </w:tcPr>
          <w:p>
            <w:r>
              <w:rPr>
                <w:b/>
                <w:color w:val="FFFFFF"/>
              </w:rPr>
              <w:t>Duración</w:t>
            </w:r>
          </w:p>
        </w:tc>
      </w:tr>
      <w:tr>
        <w:tc>
          <w:tcPr>
            <w:tcW w:type="dxa" w:w="3135"/>
            <w:shd w:fill="F7F9F7"/>
            <w:tcMar>
              <w:top w:w="80" w:type="dxa"/>
              <w:bottom w:w="80" w:type="dxa"/>
              <w:left w:w="100" w:type="dxa"/>
              <w:right w:w="100" w:type="dxa"/>
            </w:tcMar>
          </w:tcPr>
          <w:p>
            <w:r>
              <w:rPr>
                <w:b/>
                <w:color w:val="8D5B4C"/>
              </w:rPr>
              <w:t>1. Diagnóstico</w:t>
            </w:r>
          </w:p>
        </w:tc>
        <w:tc>
          <w:tcPr>
            <w:tcW w:type="dxa" w:w="3135"/>
            <w:shd w:fill="F7F9F7"/>
            <w:tcMar>
              <w:top w:w="80" w:type="dxa"/>
              <w:bottom w:w="80" w:type="dxa"/>
              <w:left w:w="100" w:type="dxa"/>
              <w:right w:w="100" w:type="dxa"/>
            </w:tcMar>
          </w:tcPr>
          <w:p>
            <w:r>
              <w:t>Identificación de la problemática de residuos orgánicos en Cusco; revisión de los ODS y del currículo EBR.</w:t>
            </w:r>
          </w:p>
        </w:tc>
        <w:tc>
          <w:tcPr>
            <w:tcW w:type="dxa" w:w="3135"/>
            <w:shd w:fill="F7F9F7"/>
            <w:tcMar>
              <w:top w:w="80" w:type="dxa"/>
              <w:bottom w:w="80" w:type="dxa"/>
              <w:left w:w="100" w:type="dxa"/>
              <w:right w:w="100" w:type="dxa"/>
            </w:tcMar>
          </w:tcPr>
          <w:p>
            <w:r>
              <w:t>2 semanas</w:t>
            </w:r>
          </w:p>
        </w:tc>
      </w:tr>
      <w:tr>
        <w:tc>
          <w:tcPr>
            <w:tcW w:type="dxa" w:w="3135"/>
            <w:shd w:fill="FFFFFF"/>
            <w:tcMar>
              <w:top w:w="80" w:type="dxa"/>
              <w:bottom w:w="80" w:type="dxa"/>
              <w:left w:w="100" w:type="dxa"/>
              <w:right w:w="100" w:type="dxa"/>
            </w:tcMar>
          </w:tcPr>
          <w:p>
            <w:r>
              <w:rPr>
                <w:b/>
                <w:color w:val="8D5B4C"/>
              </w:rPr>
              <w:t>2. Diseño</w:t>
            </w:r>
          </w:p>
        </w:tc>
        <w:tc>
          <w:tcPr>
            <w:tcW w:type="dxa" w:w="3135"/>
            <w:shd w:fill="FFFFFF"/>
            <w:tcMar>
              <w:top w:w="80" w:type="dxa"/>
              <w:bottom w:w="80" w:type="dxa"/>
              <w:left w:w="100" w:type="dxa"/>
              <w:right w:w="100" w:type="dxa"/>
            </w:tcMar>
          </w:tcPr>
          <w:p>
            <w:r>
              <w:t>Creación de la identidad visual (vectores SVG de la mascota) y maquetación de la interfaz responsiva.</w:t>
            </w:r>
          </w:p>
        </w:tc>
        <w:tc>
          <w:tcPr>
            <w:tcW w:type="dxa" w:w="3135"/>
            <w:shd w:fill="FFFFFF"/>
            <w:tcMar>
              <w:top w:w="80" w:type="dxa"/>
              <w:bottom w:w="80" w:type="dxa"/>
              <w:left w:w="100" w:type="dxa"/>
              <w:right w:w="100" w:type="dxa"/>
            </w:tcMar>
          </w:tcPr>
          <w:p>
            <w:r>
              <w:t>3 semanas</w:t>
            </w:r>
          </w:p>
        </w:tc>
      </w:tr>
      <w:tr>
        <w:tc>
          <w:tcPr>
            <w:tcW w:type="dxa" w:w="3135"/>
            <w:shd w:fill="F7F9F7"/>
            <w:tcMar>
              <w:top w:w="80" w:type="dxa"/>
              <w:bottom w:w="80" w:type="dxa"/>
              <w:left w:w="100" w:type="dxa"/>
              <w:right w:w="100" w:type="dxa"/>
            </w:tcMar>
          </w:tcPr>
          <w:p>
            <w:r>
              <w:rPr>
                <w:b/>
                <w:color w:val="8D5B4C"/>
              </w:rPr>
              <w:t>3. Desarrollo</w:t>
            </w:r>
          </w:p>
        </w:tc>
        <w:tc>
          <w:tcPr>
            <w:tcW w:type="dxa" w:w="3135"/>
            <w:shd w:fill="F7F9F7"/>
            <w:tcMar>
              <w:top w:w="80" w:type="dxa"/>
              <w:bottom w:w="80" w:type="dxa"/>
              <w:left w:w="100" w:type="dxa"/>
              <w:right w:w="100" w:type="dxa"/>
            </w:tcMar>
          </w:tcPr>
          <w:p>
            <w:r>
              <w:t>Programación del motor biológico, sistema de XP/niveles y tres minijuegos educativos.</w:t>
            </w:r>
          </w:p>
        </w:tc>
        <w:tc>
          <w:tcPr>
            <w:tcW w:type="dxa" w:w="3135"/>
            <w:shd w:fill="F7F9F7"/>
            <w:tcMar>
              <w:top w:w="80" w:type="dxa"/>
              <w:bottom w:w="80" w:type="dxa"/>
              <w:left w:w="100" w:type="dxa"/>
              <w:right w:w="100" w:type="dxa"/>
            </w:tcMar>
          </w:tcPr>
          <w:p>
            <w:r>
              <w:t>4 semanas</w:t>
            </w:r>
          </w:p>
        </w:tc>
      </w:tr>
      <w:tr>
        <w:tc>
          <w:tcPr>
            <w:tcW w:type="dxa" w:w="3135"/>
            <w:shd w:fill="FFFFFF"/>
            <w:tcMar>
              <w:top w:w="80" w:type="dxa"/>
              <w:bottom w:w="80" w:type="dxa"/>
              <w:left w:w="100" w:type="dxa"/>
              <w:right w:w="100" w:type="dxa"/>
            </w:tcMar>
          </w:tcPr>
          <w:p>
            <w:r>
              <w:rPr>
                <w:b/>
                <w:color w:val="8D5B4C"/>
              </w:rPr>
              <w:t>4. Evaluación</w:t>
            </w:r>
          </w:p>
        </w:tc>
        <w:tc>
          <w:tcPr>
            <w:tcW w:type="dxa" w:w="3135"/>
            <w:shd w:fill="FFFFFF"/>
            <w:tcMar>
              <w:top w:w="80" w:type="dxa"/>
              <w:bottom w:w="80" w:type="dxa"/>
              <w:left w:w="100" w:type="dxa"/>
              <w:right w:w="100" w:type="dxa"/>
            </w:tcMar>
          </w:tcPr>
          <w:p>
            <w:r>
              <w:t>Pruebas con estudiantes y docentes de Cusco, retroalimentación y sustentación final.</w:t>
            </w:r>
          </w:p>
        </w:tc>
        <w:tc>
          <w:tcPr>
            <w:tcW w:type="dxa" w:w="3135"/>
            <w:shd w:fill="FFFFFF"/>
            <w:tcMar>
              <w:top w:w="80" w:type="dxa"/>
              <w:bottom w:w="80" w:type="dxa"/>
              <w:left w:w="100" w:type="dxa"/>
              <w:right w:w="100" w:type="dxa"/>
            </w:tcMar>
          </w:tcPr>
          <w:p>
            <w:r>
              <w:t>2 semanas</w:t>
            </w:r>
          </w:p>
        </w:tc>
      </w:tr>
    </w:tbl>
    <w:p/>
    <w:p>
      <w:pPr>
        <w:keepNext/>
        <w:spacing w:before="320" w:after="120"/>
      </w:pPr>
      <w:r>
        <w:rPr>
          <w:rFonts w:ascii="Arial" w:hAnsi="Arial"/>
          <w:b/>
          <w:color w:val="2C5E3B"/>
          <w:sz w:val="30"/>
        </w:rPr>
        <w:t>8. Impacto esperado</w:t>
      </w:r>
    </w:p>
    <w:p>
      <w:pPr>
        <w:pStyle w:val="ListBullet"/>
        <w:spacing w:after="80" w:line="276" w:lineRule="auto"/>
      </w:pPr>
      <w:r>
        <w:rPr>
          <w:b/>
          <w:color w:val="2B2B2B"/>
        </w:rPr>
        <w:t xml:space="preserve">Ambiental: </w:t>
      </w:r>
      <w:r>
        <w:rPr>
          <w:color w:val="2B2B2B"/>
        </w:rPr>
        <w:t>Reducción de residuos orgánicos en vertederos locales gracias a la adopción del compostaje doméstico.</w:t>
      </w:r>
    </w:p>
    <w:p>
      <w:pPr>
        <w:pStyle w:val="ListBullet"/>
        <w:spacing w:after="80" w:line="276" w:lineRule="auto"/>
      </w:pPr>
      <w:r>
        <w:rPr>
          <w:b/>
          <w:color w:val="2B2B2B"/>
        </w:rPr>
        <w:t xml:space="preserve">Educativo: </w:t>
      </w:r>
      <w:r>
        <w:rPr>
          <w:color w:val="2B2B2B"/>
        </w:rPr>
        <w:t>Integración de herramientas interactivas STEM en las clases de Ciencia, Tecnología y Ambiente (CTA) de EBR.</w:t>
      </w:r>
    </w:p>
    <w:p>
      <w:pPr>
        <w:pStyle w:val="ListBullet"/>
        <w:spacing w:after="80" w:line="276" w:lineRule="auto"/>
      </w:pPr>
      <w:r>
        <w:rPr>
          <w:b/>
          <w:color w:val="2B2B2B"/>
        </w:rPr>
        <w:t xml:space="preserve">Cultural: </w:t>
      </w:r>
      <w:r>
        <w:rPr>
          <w:color w:val="2B2B2B"/>
        </w:rPr>
        <w:t>Fortalecimiento de la identidad cultural andina al conectar el compostaje moderno con el Ayni y el respeto a la Pachamama.</w:t>
      </w:r>
    </w:p>
    <w:p>
      <w:pPr>
        <w:pStyle w:val="ListBullet"/>
        <w:spacing w:after="80" w:line="276" w:lineRule="auto"/>
      </w:pPr>
      <w:r>
        <w:rPr>
          <w:b/>
          <w:color w:val="2B2B2B"/>
        </w:rPr>
        <w:t xml:space="preserve">Social: </w:t>
      </w:r>
      <w:r>
        <w:rPr>
          <w:color w:val="2B2B2B"/>
        </w:rPr>
        <w:t>Mayor cohesión comunitaria en barrios y comunidades rurales en torno a prácticas ecológicas compartidas.</w:t>
      </w:r>
    </w:p>
    <w:tbl>
      <w:tblPr>
        <w:tblW w:type="auto" w:w="0"/>
        <w:jc w:val="center"/>
        <w:tblLook w:firstColumn="1" w:firstRow="1" w:lastColumn="0" w:lastRow="0" w:noHBand="0" w:noVBand="1" w:val="04A0"/>
      </w:tblPr>
      <w:tblGrid>
        <w:gridCol w:w="9406"/>
      </w:tblGrid>
      <w:tr>
        <w:tc>
          <w:tcPr>
            <w:tcW w:type="dxa" w:w="9406"/>
            <w:shd w:fill="F0F5F1"/>
            <w:tcMar>
              <w:top w:w="140" w:type="dxa"/>
              <w:bottom w:w="140" w:type="dxa"/>
              <w:left w:w="200" w:type="dxa"/>
              <w:right w:w="200" w:type="dxa"/>
            </w:tcMar>
            <w:tcBorders>
              <w:top w:val="none"/>
              <w:left w:val="single" w:sz="24" w:space="0" w:color="2C5E3B"/>
              <w:bottom w:val="none"/>
              <w:right w:val="none"/>
            </w:tcBorders>
          </w:tcPr>
          <w:p>
            <w:r>
              <w:rPr>
                <w:i/>
                <w:color w:val="3E6E4D"/>
                <w:sz w:val="21"/>
              </w:rPr>
              <w:t>Compost-gotchi demuestra que el arte digital, la programación y la educación ambiental pueden fusionarse para abordar problemas ecológicos concretos. Al aprender cometiendo errores controlados en el simulador, el estudiante adquiere la confianza necesaria para implementar una compostera real en su hogar o comunidad.</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