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C9F" w:rsidRPr="00CA7879" w:rsidRDefault="00C37C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7879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1</w:t>
      </w:r>
    </w:p>
    <w:p w:rsidR="00667F49" w:rsidRPr="00CA7879" w:rsidRDefault="0066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u w:val="single"/>
          <w:lang w:val="en-US"/>
        </w:rPr>
        <w:t>Research aims in words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7C9F" w:rsidRPr="00CA7879" w:rsidRDefault="00C37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Hypothesis 1: the use of anti-hypertensive medication (BPMEDS) has impact on the risk of death.</w:t>
      </w:r>
    </w:p>
    <w:p w:rsidR="00C37C9F" w:rsidRPr="00CA7879" w:rsidRDefault="00C37C9F" w:rsidP="00C37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Hypothesis 2: the use of anti-hypertensive medication (BPMEDS) can decrease the risk of death.</w:t>
      </w:r>
    </w:p>
    <w:p w:rsidR="00667F49" w:rsidRPr="00CA7879" w:rsidRDefault="00667F49" w:rsidP="00C37C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F49" w:rsidRPr="00CA7879" w:rsidRDefault="00667F49" w:rsidP="00C37C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u w:val="single"/>
          <w:lang w:val="en-US"/>
        </w:rPr>
        <w:t>Research aims in notation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7C9F" w:rsidRPr="00CA7879" w:rsidRDefault="001172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Exposure</w:t>
      </w:r>
      <w:r w:rsidR="00667F49"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67F49" w:rsidRPr="00CA7879" w:rsidRDefault="00CA787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BPMEDS=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          anti-hypertensive medication is currently used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    anti-hypertensive medication is not currently used </m:t>
                  </m:r>
                </m:e>
              </m:eqArr>
            </m:e>
          </m:d>
        </m:oMath>
      </m:oMathPara>
    </w:p>
    <w:p w:rsidR="00667F49" w:rsidRPr="00CA7879" w:rsidRDefault="00667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Outcome: </w:t>
      </w:r>
    </w:p>
    <w:p w:rsidR="00667F49" w:rsidRPr="00CA7879" w:rsidRDefault="00CA7879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DEATH(1)</m:t>
        </m:r>
      </m:oMath>
      <w:r w:rsidR="00667F49"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: potential survival outcome if anti-hypertensive medication </w:t>
      </w:r>
      <w:r w:rsidR="006F6E8D" w:rsidRPr="00CA787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67F49"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currently used on participant</w:t>
      </w:r>
    </w:p>
    <w:p w:rsidR="00667F49" w:rsidRPr="00CA7879" w:rsidRDefault="00CA7879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DEATH(0)</m:t>
        </m:r>
      </m:oMath>
      <w:r w:rsidR="006F6E8D" w:rsidRPr="00CA7879">
        <w:rPr>
          <w:rFonts w:ascii="Times New Roman" w:hAnsi="Times New Roman" w:cs="Times New Roman"/>
          <w:sz w:val="28"/>
          <w:szCs w:val="28"/>
          <w:lang w:val="en-US"/>
        </w:rPr>
        <w:t>: potential survival outcome if anti-hypertensive medication is not currently used on participant</w:t>
      </w:r>
    </w:p>
    <w:p w:rsidR="006F6E8D" w:rsidRPr="00CA7879" w:rsidRDefault="006F6E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We need to solve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DEATH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-E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DEATH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</m:d>
          </m:e>
        </m:d>
      </m:oMath>
    </w:p>
    <w:p w:rsidR="006F6E8D" w:rsidRPr="00CA7879" w:rsidRDefault="006F6E8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7879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2</w:t>
      </w:r>
    </w:p>
    <w:p w:rsidR="006F6E8D" w:rsidRPr="00CA7879" w:rsidRDefault="00370E1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u w:val="single"/>
          <w:lang w:val="en-US"/>
        </w:rPr>
        <w:t>Structure:</w:t>
      </w:r>
    </w:p>
    <w:p w:rsidR="00012E8F" w:rsidRPr="00CA7879" w:rsidRDefault="00012E8F" w:rsidP="00012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• Introduction: research question</w:t>
      </w:r>
      <w:r w:rsidR="00CD3F79"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(0.5p)</w:t>
      </w:r>
    </w:p>
    <w:p w:rsidR="00012E8F" w:rsidRPr="00CA7879" w:rsidRDefault="00012E8F" w:rsidP="00012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• Methods</w:t>
      </w:r>
      <w:r w:rsidR="00CD3F79"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(1p)</w:t>
      </w:r>
    </w:p>
    <w:p w:rsidR="00012E8F" w:rsidRPr="00CA7879" w:rsidRDefault="00012E8F" w:rsidP="00012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• Results </w:t>
      </w:r>
      <w:r w:rsidR="00CD3F79" w:rsidRPr="00CA7879">
        <w:rPr>
          <w:rFonts w:ascii="Times New Roman" w:hAnsi="Times New Roman" w:cs="Times New Roman"/>
          <w:sz w:val="28"/>
          <w:szCs w:val="28"/>
          <w:lang w:val="en-US"/>
        </w:rPr>
        <w:t>(2p)</w:t>
      </w:r>
    </w:p>
    <w:p w:rsidR="00012E8F" w:rsidRPr="00CA7879" w:rsidRDefault="00012E8F" w:rsidP="00012E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• Conclusion</w:t>
      </w:r>
      <w:r w:rsidR="00CD3F79"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(1p)</w:t>
      </w:r>
    </w:p>
    <w:p w:rsidR="00A25591" w:rsidRPr="00CA7879" w:rsidRDefault="00A25591" w:rsidP="00012E8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u w:val="single"/>
          <w:lang w:val="en-US"/>
        </w:rPr>
        <w:t>Protocol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5591" w:rsidRPr="00CA7879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1. Eligibility criteria</w:t>
      </w:r>
    </w:p>
    <w:p w:rsidR="00A25591" w:rsidRPr="00CA7879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   Participants in the community of Framingham who are examined biennially after inclusion in the study and continuously followed through regular surveillance for cardiovascular outcomes</w:t>
      </w:r>
    </w:p>
    <w:p w:rsidR="00A25591" w:rsidRPr="00CA7879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2. Exposure definition</w:t>
      </w:r>
    </w:p>
    <w:p w:rsidR="00A25591" w:rsidRPr="00CA7879" w:rsidRDefault="00A25591" w:rsidP="00A90FE9">
      <w:pPr>
        <w:ind w:firstLine="280"/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Exposed in study: if participant</w:t>
      </w:r>
      <w:r w:rsidR="00A90FE9" w:rsidRPr="00CA78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receive </w:t>
      </w:r>
      <w:r w:rsidR="00A90FE9" w:rsidRPr="00CA7879">
        <w:rPr>
          <w:rFonts w:ascii="Times New Roman" w:hAnsi="Times New Roman" w:cs="Times New Roman"/>
          <w:sz w:val="28"/>
          <w:szCs w:val="28"/>
          <w:lang w:val="en-US"/>
        </w:rPr>
        <w:t>anti-hypertensive medication during first examination period</w:t>
      </w:r>
    </w:p>
    <w:p w:rsidR="00A90FE9" w:rsidRPr="00CA7879" w:rsidRDefault="00A90FE9" w:rsidP="00A90FE9">
      <w:pPr>
        <w:ind w:firstLine="280"/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Non exposed: if participants don’t receive anti-hypertensive medication during first examination period</w:t>
      </w:r>
    </w:p>
    <w:p w:rsidR="00A25591" w:rsidRPr="00CA7879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3. Assignment procedures</w:t>
      </w:r>
    </w:p>
    <w:p w:rsidR="00A90FE9" w:rsidRPr="00CA7879" w:rsidRDefault="00A90FE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   Whether receiving anti-hypertensive medication is based on the observed data.</w:t>
      </w:r>
    </w:p>
    <w:p w:rsidR="00A25591" w:rsidRPr="00CA7879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4. Follow-up period</w:t>
      </w:r>
    </w:p>
    <w:p w:rsidR="00A90FE9" w:rsidRPr="00CA7879" w:rsidRDefault="00A90FE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   24 years after the participant is included in the study.</w:t>
      </w:r>
    </w:p>
    <w:p w:rsidR="00A25591" w:rsidRPr="00CA7879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5. Outcome definition</w:t>
      </w:r>
    </w:p>
    <w:p w:rsidR="00A90FE9" w:rsidRPr="00CA7879" w:rsidRDefault="00A90FE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   Mortality </w:t>
      </w:r>
      <w:r w:rsidR="00FD7B9A" w:rsidRPr="00CA7879">
        <w:rPr>
          <w:rFonts w:ascii="Times New Roman" w:hAnsi="Times New Roman" w:cs="Times New Roman"/>
          <w:sz w:val="28"/>
          <w:szCs w:val="28"/>
          <w:lang w:val="en-US"/>
        </w:rPr>
        <w:t>during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 24 years</w:t>
      </w:r>
    </w:p>
    <w:p w:rsidR="00A25591" w:rsidRPr="00CA7879" w:rsidRDefault="00A25591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lastRenderedPageBreak/>
        <w:t>6. Causal contrast of interest</w:t>
      </w:r>
    </w:p>
    <w:p w:rsidR="00FD7B9A" w:rsidRPr="00CA7879" w:rsidRDefault="00CA787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DEATH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-E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DEATH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e>
          </m:d>
        </m:oMath>
      </m:oMathPara>
    </w:p>
    <w:p w:rsidR="00920CF5" w:rsidRPr="00CA7879" w:rsidRDefault="00920CF5" w:rsidP="00920C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7879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3</w:t>
      </w:r>
    </w:p>
    <w:p w:rsidR="00920CF5" w:rsidRPr="00CA7879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u w:val="single"/>
          <w:lang w:val="en-US"/>
        </w:rPr>
        <w:t>DAG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2648" w:rsidRPr="00CA7879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022600"/>
            <wp:effectExtent l="0" t="0" r="0" b="0"/>
            <wp:docPr id="138834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42115" name="Picture 13883421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48" w:rsidRPr="00CA7879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u w:val="single"/>
          <w:lang w:val="en-US"/>
        </w:rPr>
        <w:t>Adjusting set</w:t>
      </w:r>
      <w:r w:rsidR="00C967F8"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2648" w:rsidRPr="00CA7879" w:rsidRDefault="00D02648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8811AC" w:rsidRPr="00CA7879">
        <w:rPr>
          <w:rFonts w:ascii="Times New Roman" w:hAnsi="Times New Roman" w:cs="Times New Roman"/>
          <w:sz w:val="28"/>
          <w:szCs w:val="28"/>
          <w:lang w:val="en-US"/>
        </w:rPr>
        <w:t>EDUC</w:t>
      </w:r>
      <w:r w:rsidR="008811AC" w:rsidRPr="00CA78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11AC" w:rsidRPr="00CA7879">
        <w:rPr>
          <w:rFonts w:ascii="Times New Roman" w:hAnsi="Times New Roman" w:cs="Times New Roman"/>
          <w:sz w:val="28"/>
          <w:szCs w:val="28"/>
          <w:lang w:val="en-US"/>
        </w:rPr>
        <w:t>DIABP, SYSBP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967F8" w:rsidRPr="00CA7879" w:rsidRDefault="00C967F8" w:rsidP="00A255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787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Week </w:t>
      </w:r>
      <w:r w:rsidRPr="00CA7879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:rsidR="00C967F8" w:rsidRPr="00CA7879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967F8" w:rsidRPr="00CA7879">
        <w:rPr>
          <w:rFonts w:ascii="Times New Roman" w:hAnsi="Times New Roman" w:cs="Times New Roman"/>
          <w:sz w:val="28"/>
          <w:szCs w:val="28"/>
          <w:lang w:val="en-US"/>
        </w:rPr>
        <w:t>utcome regression</w:t>
      </w:r>
      <w:r w:rsidR="00C967F8"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879" w:rsidRPr="00CA7879" w:rsidRDefault="00CA787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DEATH=1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DEATH=1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CA7879" w:rsidRPr="00CA7879" w:rsidRDefault="00CA787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BPMEDS+EDUC+SYSBP+DIABP</m:t>
          </m:r>
        </m:oMath>
      </m:oMathPara>
    </w:p>
    <w:p w:rsidR="00CA7879" w:rsidRPr="00CA7879" w:rsidRDefault="00CA787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BPMEDS×EDUC+BPMEDS×SYSBP+BPMEDS×DIABP</m:t>
          </m:r>
        </m:oMath>
      </m:oMathPara>
    </w:p>
    <w:p w:rsidR="00FE3E0E" w:rsidRPr="00CA7879" w:rsidRDefault="00CA7879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SEX+AGE+CURSMOKE+BMI+HEARTRTE</m:t>
          </m:r>
        </m:oMath>
      </m:oMathPara>
    </w:p>
    <w:p w:rsidR="00404F9C" w:rsidRPr="00CA7879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stimate and 95% CI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1877"/>
        <w:gridCol w:w="986"/>
        <w:gridCol w:w="2075"/>
        <w:gridCol w:w="2044"/>
      </w:tblGrid>
      <w:tr w:rsidR="00404F9C" w:rsidRPr="00CA7879" w:rsidTr="00EF12D9">
        <w:trPr>
          <w:jc w:val="center"/>
        </w:trPr>
        <w:tc>
          <w:tcPr>
            <w:tcW w:w="0" w:type="auto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DEATH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DEATH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8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8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 boundary</w:t>
            </w:r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8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Upper boundary</w:t>
            </w:r>
          </w:p>
        </w:tc>
      </w:tr>
      <w:tr w:rsidR="00404F9C" w:rsidRPr="00CA7879" w:rsidTr="00EF12D9">
        <w:trPr>
          <w:jc w:val="center"/>
        </w:trPr>
        <w:tc>
          <w:tcPr>
            <w:tcW w:w="0" w:type="auto"/>
          </w:tcPr>
          <w:p w:rsidR="00404F9C" w:rsidRPr="00591D20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F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0.4647</w:t>
            </w:r>
          </w:p>
        </w:tc>
        <w:tc>
          <w:tcPr>
            <w:tcW w:w="0" w:type="auto"/>
          </w:tcPr>
          <w:p w:rsidR="00404F9C" w:rsidRPr="00591D20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F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0.2610</w:t>
            </w:r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1D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0.2037</w:t>
            </w:r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0.0179</w:t>
            </w:r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2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777B7B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Formulate additional assumptions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F9C" w:rsidRPr="00CA7879" w:rsidRDefault="00404F9C" w:rsidP="00A255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7B7B" w:rsidRPr="00CA7879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heck the assumptions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7B7B" w:rsidRPr="00CA7879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7B7B" w:rsidRPr="00CA7879" w:rsidRDefault="00777B7B" w:rsidP="00A255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A7879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5</w:t>
      </w:r>
    </w:p>
    <w:p w:rsidR="00777B7B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ropensity score reweighting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F9C" w:rsidRPr="00CA7879" w:rsidRDefault="00404F9C" w:rsidP="00404F9C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BPMEDS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BPMEDS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404F9C" w:rsidRPr="00CA7879" w:rsidRDefault="00404F9C" w:rsidP="00A2559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EDUC+SYSBP+DIABP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SEX+AGE+CURSMOKE+BMI+HEARTRTE</m:t>
          </m:r>
        </m:oMath>
      </m:oMathPara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1877"/>
        <w:gridCol w:w="986"/>
      </w:tblGrid>
      <w:tr w:rsidR="00404F9C" w:rsidRPr="00CA7879" w:rsidTr="00A13EA0">
        <w:trPr>
          <w:jc w:val="center"/>
        </w:trPr>
        <w:tc>
          <w:tcPr>
            <w:tcW w:w="0" w:type="auto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DEATH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DEATH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8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</w:tr>
      <w:tr w:rsidR="00404F9C" w:rsidRPr="00CA7879" w:rsidTr="00A13EA0">
        <w:trPr>
          <w:jc w:val="center"/>
        </w:trPr>
        <w:tc>
          <w:tcPr>
            <w:tcW w:w="0" w:type="auto"/>
          </w:tcPr>
          <w:p w:rsidR="00404F9C" w:rsidRPr="00591D20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F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04F9C" w:rsidRPr="00591D20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F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:rsidR="00404F9C" w:rsidRPr="00CA7879" w:rsidRDefault="00404F9C" w:rsidP="00A13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F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0.1482</w:t>
            </w:r>
          </w:p>
        </w:tc>
      </w:tr>
    </w:tbl>
    <w:p w:rsidR="00777B7B" w:rsidRPr="00CA7879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7B7B" w:rsidRPr="00CA7879" w:rsidRDefault="00777B7B" w:rsidP="00777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Formulate additional assumptions:</w:t>
      </w:r>
    </w:p>
    <w:p w:rsidR="00777B7B" w:rsidRPr="00CA7879" w:rsidRDefault="00777B7B" w:rsidP="00777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7B7B" w:rsidRPr="00CA7879" w:rsidRDefault="00777B7B" w:rsidP="00777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7879">
        <w:rPr>
          <w:rFonts w:ascii="Times New Roman" w:hAnsi="Times New Roman" w:cs="Times New Roman"/>
          <w:sz w:val="28"/>
          <w:szCs w:val="28"/>
          <w:lang w:val="en-US"/>
        </w:rPr>
        <w:t>Check the assumptions</w:t>
      </w:r>
      <w:r w:rsidRPr="00CA7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7B7B" w:rsidRPr="00CA7879" w:rsidRDefault="00777B7B" w:rsidP="00A2559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7B7B" w:rsidRPr="00CA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1E1"/>
    <w:multiLevelType w:val="hybridMultilevel"/>
    <w:tmpl w:val="0DFA8FE8"/>
    <w:lvl w:ilvl="0" w:tplc="0C10404E">
      <w:start w:val="1"/>
      <w:numFmt w:val="bullet"/>
      <w:lvlText w:val=""/>
      <w:lvlJc w:val="left"/>
      <w:pPr>
        <w:ind w:left="284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368A3"/>
    <w:multiLevelType w:val="hybridMultilevel"/>
    <w:tmpl w:val="71705416"/>
    <w:lvl w:ilvl="0" w:tplc="3B8494C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55E1"/>
    <w:multiLevelType w:val="hybridMultilevel"/>
    <w:tmpl w:val="818C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7EE7"/>
    <w:multiLevelType w:val="hybridMultilevel"/>
    <w:tmpl w:val="5AA26F30"/>
    <w:lvl w:ilvl="0" w:tplc="5AD28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5993">
    <w:abstractNumId w:val="3"/>
  </w:num>
  <w:num w:numId="2" w16cid:durableId="576748992">
    <w:abstractNumId w:val="0"/>
  </w:num>
  <w:num w:numId="3" w16cid:durableId="1917744874">
    <w:abstractNumId w:val="1"/>
  </w:num>
  <w:num w:numId="4" w16cid:durableId="33033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9F"/>
    <w:rsid w:val="00012E8F"/>
    <w:rsid w:val="001172EA"/>
    <w:rsid w:val="00370E11"/>
    <w:rsid w:val="00404F9C"/>
    <w:rsid w:val="00591D20"/>
    <w:rsid w:val="00667F49"/>
    <w:rsid w:val="006F6E8D"/>
    <w:rsid w:val="00777B7B"/>
    <w:rsid w:val="008811AC"/>
    <w:rsid w:val="00920CF5"/>
    <w:rsid w:val="009D379C"/>
    <w:rsid w:val="00A25591"/>
    <w:rsid w:val="00A90FE9"/>
    <w:rsid w:val="00C37C9F"/>
    <w:rsid w:val="00C967F8"/>
    <w:rsid w:val="00CA7879"/>
    <w:rsid w:val="00CD3F79"/>
    <w:rsid w:val="00D02648"/>
    <w:rsid w:val="00D1524D"/>
    <w:rsid w:val="00FD7B9A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99A96"/>
  <w15:chartTrackingRefBased/>
  <w15:docId w15:val="{8EA001F2-EDC5-834E-A32A-B86DEDB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F49"/>
    <w:rPr>
      <w:color w:val="666666"/>
    </w:rPr>
  </w:style>
  <w:style w:type="paragraph" w:styleId="ListParagraph">
    <w:name w:val="List Paragraph"/>
    <w:basedOn w:val="Normal"/>
    <w:uiPriority w:val="34"/>
    <w:qFormat/>
    <w:rsid w:val="00012E8F"/>
    <w:pPr>
      <w:ind w:left="720"/>
      <w:contextualSpacing/>
    </w:pPr>
  </w:style>
  <w:style w:type="table" w:styleId="TableGrid">
    <w:name w:val="Table Grid"/>
    <w:basedOn w:val="TableNormal"/>
    <w:uiPriority w:val="39"/>
    <w:rsid w:val="00FE3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X. (Xiang)</dc:creator>
  <cp:keywords/>
  <dc:description/>
  <cp:lastModifiedBy>Li, X. (Xiang)</cp:lastModifiedBy>
  <cp:revision>12</cp:revision>
  <dcterms:created xsi:type="dcterms:W3CDTF">2024-03-03T18:33:00Z</dcterms:created>
  <dcterms:modified xsi:type="dcterms:W3CDTF">2024-03-11T21:34:00Z</dcterms:modified>
</cp:coreProperties>
</file>