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Partnership Proposal and Agreement</w:t>
      </w:r>
    </w:p>
    <w:p>
      <w:pPr>
        <w:pStyle w:val="Subtitle"/>
      </w:pPr>
      <w:r>
        <w:t xml:space="preserve">Affiliate management for the 7 Figures Funding partner program</w:t>
      </w:r>
    </w:p>
    <w:p>
      <w:pPr>
        <w:pStyle w:val="FirstParagraph"/>
      </w:pPr>
      <w:r>
        <w:rPr>
          <w:b/>
          <w:bCs/>
        </w:rPr>
        <w:t xml:space="preserve">Prepared for</w:t>
      </w:r>
      <w:r>
        <w:t xml:space="preserve"> </w:t>
      </w:r>
      <w:r>
        <w:t xml:space="preserve">7 Figures Funding ·</w:t>
      </w:r>
      <w:r>
        <w:t xml:space="preserve"> </w:t>
      </w:r>
      <w:r>
        <w:rPr>
          <w:b/>
          <w:bCs/>
        </w:rPr>
        <w:t xml:space="preserve">Prepared by</w:t>
      </w:r>
      <w:r>
        <w:t xml:space="preserve"> </w:t>
      </w:r>
      <w:r>
        <w:t xml:space="preserve">Justin Bellware ·</w:t>
      </w:r>
      <w:r>
        <w:t xml:space="preserve"> </w:t>
      </w:r>
      <w:r>
        <w:rPr>
          <w:b/>
          <w:bCs/>
        </w:rPr>
        <w:t xml:space="preserve">Date</w:t>
      </w:r>
      <w:r>
        <w:t xml:space="preserve"> </w:t>
      </w:r>
      <w:r>
        <w:t xml:space="preserve">September 24, 2026</w:t>
      </w:r>
    </w:p>
    <w:bookmarkStart w:id="15" w:name="part-1-proposal"/>
    <w:p>
      <w:pPr>
        <w:pStyle w:val="Heading1"/>
      </w:pPr>
      <w:r>
        <w:t xml:space="preserve">Part 1: Proposal</w:t>
      </w:r>
    </w:p>
    <w:bookmarkStart w:id="9" w:name="the-goal"/>
    <w:p>
      <w:pPr>
        <w:pStyle w:val="Heading2"/>
      </w:pPr>
      <w:r>
        <w:t xml:space="preserve">The goal</w:t>
      </w:r>
    </w:p>
    <w:p>
      <w:pPr>
        <w:pStyle w:val="FirstParagraph"/>
      </w:pPr>
      <w:r>
        <w:t xml:space="preserve">7 Figures Funding (</w:t>
      </w:r>
      <w:r>
        <w:t xml:space="preserve">“7FF”</w:t>
      </w:r>
      <w:r>
        <w:t xml:space="preserve">) has more than 13,000 partners, most of them in Zoho. About 50 are active and sending deals, which leaves roughly 12,950 who signed up and went quiet. The reactivation text is only the start. The goal is a lasting relationship with every partner:</w:t>
      </w:r>
    </w:p>
    <w:p>
      <w:pPr>
        <w:pStyle w:val="Compact"/>
        <w:numPr>
          <w:ilvl w:val="0"/>
          <w:numId w:val="1001"/>
        </w:numPr>
      </w:pPr>
      <w:r>
        <w:rPr>
          <w:b/>
          <w:bCs/>
        </w:rPr>
        <w:t xml:space="preserve">Open the door</w:t>
      </w:r>
      <w:r>
        <w:t xml:space="preserve"> </w:t>
      </w:r>
      <w:r>
        <w:t xml:space="preserve">to a real relationship with each partner.</w:t>
      </w:r>
    </w:p>
    <w:p>
      <w:pPr>
        <w:pStyle w:val="Compact"/>
        <w:numPr>
          <w:ilvl w:val="0"/>
          <w:numId w:val="1001"/>
        </w:numPr>
      </w:pPr>
      <w:r>
        <w:rPr>
          <w:b/>
          <w:bCs/>
        </w:rPr>
        <w:t xml:space="preserve">Build a partner profile</w:t>
      </w:r>
      <w:r>
        <w:t xml:space="preserve"> </w:t>
      </w:r>
      <w:r>
        <w:t xml:space="preserve">for each one: tier, history, niche, goals, and every conversation.</w:t>
      </w:r>
    </w:p>
    <w:p>
      <w:pPr>
        <w:pStyle w:val="Compact"/>
        <w:numPr>
          <w:ilvl w:val="0"/>
          <w:numId w:val="1001"/>
        </w:numPr>
      </w:pPr>
      <w:r>
        <w:rPr>
          <w:b/>
          <w:bCs/>
        </w:rPr>
        <w:t xml:space="preserve">Know each partner.</w:t>
      </w:r>
      <w:r>
        <w:t xml:space="preserve"> </w:t>
      </w:r>
      <w:r>
        <w:t xml:space="preserve">The agent learns each partner’s specifics from their profile and every conversation, so every message fits that person.</w:t>
      </w:r>
    </w:p>
    <w:p>
      <w:pPr>
        <w:pStyle w:val="Compact"/>
        <w:numPr>
          <w:ilvl w:val="0"/>
          <w:numId w:val="1001"/>
        </w:numPr>
      </w:pPr>
      <w:r>
        <w:rPr>
          <w:b/>
          <w:bCs/>
        </w:rPr>
        <w:t xml:space="preserve">Plan a revenue channel.</w:t>
      </w:r>
      <w:r>
        <w:t xml:space="preserve"> </w:t>
      </w:r>
      <w:r>
        <w:t xml:space="preserve">For every partner who engages, a plan for turning them into a steady source of deals.</w:t>
      </w:r>
    </w:p>
    <w:bookmarkEnd w:id="9"/>
    <w:bookmarkStart w:id="10" w:name="how-it-unfolds"/>
    <w:p>
      <w:pPr>
        <w:pStyle w:val="Heading2"/>
      </w:pPr>
      <w:r>
        <w:t xml:space="preserve">How it unfolds</w:t>
      </w:r>
    </w:p>
    <w:p>
      <w:pPr>
        <w:pStyle w:val="Compact"/>
        <w:numPr>
          <w:ilvl w:val="0"/>
          <w:numId w:val="1002"/>
        </w:numPr>
      </w:pPr>
      <w:r>
        <w:rPr>
          <w:b/>
          <w:bCs/>
        </w:rPr>
        <w:t xml:space="preserve">Phase 1: Reactivation kickoff, starting this month.</w:t>
      </w:r>
      <w:r>
        <w:t xml:space="preserve"> </w:t>
      </w:r>
      <w:r>
        <w:t xml:space="preserve">One personal text to each quiet partner, written from their own record, then a real back-and-forth with everyone who answers.</w:t>
      </w:r>
    </w:p>
    <w:p>
      <w:pPr>
        <w:pStyle w:val="Compact"/>
        <w:numPr>
          <w:ilvl w:val="0"/>
          <w:numId w:val="1002"/>
        </w:numPr>
      </w:pPr>
      <w:r>
        <w:rPr>
          <w:b/>
          <w:bCs/>
        </w:rPr>
        <w:t xml:space="preserve">Phase 2: The 90-day kickstart.</w:t>
      </w:r>
      <w:r>
        <w:t xml:space="preserve"> </w:t>
      </w:r>
      <w:r>
        <w:t xml:space="preserve">Relationships and replies take time. Over the first 90 days we build each partner’s profile, learn each partner from every conversation, and put a revenue plan in place for every partner who engages. At day 90 we review the results together, with real data, and decide where to push.</w:t>
      </w:r>
    </w:p>
    <w:p>
      <w:pPr>
        <w:pStyle w:val="Compact"/>
        <w:numPr>
          <w:ilvl w:val="0"/>
          <w:numId w:val="1002"/>
        </w:numPr>
      </w:pPr>
      <w:r>
        <w:rPr>
          <w:b/>
          <w:bCs/>
        </w:rPr>
        <w:t xml:space="preserve">Phase 3: Ongoing affiliate management, over 6 to 12 months.</w:t>
      </w:r>
      <w:r>
        <w:t xml:space="preserve"> </w:t>
      </w:r>
      <w:r>
        <w:t xml:space="preserve">Every partner stays on a steady relationship cadence, and revenue compounds as more partners come back and keep sending deals. We refine the program together, then release it to the whole community in a controlled way.</w:t>
      </w:r>
    </w:p>
    <w:bookmarkEnd w:id="10"/>
    <w:bookmarkStart w:id="11" w:name="X1bff506bba1118ada793f4d1322672a6b2566df"/>
    <w:p>
      <w:pPr>
        <w:pStyle w:val="Heading2"/>
      </w:pPr>
      <w:r>
        <w:t xml:space="preserve">What the affiliate manager does every month</w:t>
      </w:r>
    </w:p>
    <w:p>
      <w:pPr>
        <w:pStyle w:val="Compact"/>
        <w:numPr>
          <w:ilvl w:val="0"/>
          <w:numId w:val="1003"/>
        </w:numPr>
      </w:pPr>
      <w:r>
        <w:rPr>
          <w:b/>
          <w:bCs/>
        </w:rPr>
        <w:t xml:space="preserve">Keeps every partner warm.</w:t>
      </w:r>
      <w:r>
        <w:t xml:space="preserve"> </w:t>
      </w:r>
      <w:r>
        <w:t xml:space="preserve">A touch every two weeks, an offer once a month, a newsletter, and regular partner trainings.</w:t>
      </w:r>
    </w:p>
    <w:p>
      <w:pPr>
        <w:pStyle w:val="Compact"/>
        <w:numPr>
          <w:ilvl w:val="0"/>
          <w:numId w:val="1003"/>
        </w:numPr>
      </w:pPr>
      <w:r>
        <w:rPr>
          <w:b/>
          <w:bCs/>
        </w:rPr>
        <w:t xml:space="preserve">Follows up on the day promised.</w:t>
      </w:r>
      <w:r>
        <w:t xml:space="preserve"> </w:t>
      </w:r>
      <w:r>
        <w:t xml:space="preserve">“Check back with me”</w:t>
      </w:r>
      <w:r>
        <w:t xml:space="preserve"> </w:t>
      </w:r>
      <w:r>
        <w:t xml:space="preserve">becomes a task on the right day. A partner with a deal gets a person on the phone the same day.</w:t>
      </w:r>
    </w:p>
    <w:p>
      <w:pPr>
        <w:pStyle w:val="Compact"/>
        <w:numPr>
          <w:ilvl w:val="0"/>
          <w:numId w:val="1003"/>
        </w:numPr>
      </w:pPr>
      <w:r>
        <w:rPr>
          <w:b/>
          <w:bCs/>
        </w:rPr>
        <w:t xml:space="preserve">Keeps every profile current.</w:t>
      </w:r>
      <w:r>
        <w:t xml:space="preserve"> </w:t>
      </w:r>
      <w:r>
        <w:t xml:space="preserve">Each conversation updates the partner’s profile, so the next message builds on the last.</w:t>
      </w:r>
    </w:p>
    <w:p>
      <w:pPr>
        <w:pStyle w:val="Compact"/>
        <w:numPr>
          <w:ilvl w:val="0"/>
          <w:numId w:val="1003"/>
        </w:numPr>
      </w:pPr>
      <w:r>
        <w:rPr>
          <w:b/>
          <w:bCs/>
        </w:rPr>
        <w:t xml:space="preserve">Counts deals by tier.</w:t>
      </w:r>
      <w:r>
        <w:t xml:space="preserve"> </w:t>
      </w:r>
      <w:r>
        <w:t xml:space="preserve">Every re-engaged partner is tagged with their tier, so each deal they send is counted against the right share.</w:t>
      </w:r>
    </w:p>
    <w:p>
      <w:pPr>
        <w:pStyle w:val="Compact"/>
        <w:numPr>
          <w:ilvl w:val="0"/>
          <w:numId w:val="1003"/>
        </w:numPr>
      </w:pPr>
      <w:r>
        <w:rPr>
          <w:b/>
          <w:bCs/>
        </w:rPr>
        <w:t xml:space="preserve">Reports weekly.</w:t>
      </w:r>
      <w:r>
        <w:t xml:space="preserve"> </w:t>
      </w:r>
      <w:r>
        <w:t xml:space="preserve">Replies, opt-outs, deals by tier, and AI spend against the budget.</w:t>
      </w:r>
    </w:p>
    <w:bookmarkEnd w:id="11"/>
    <w:bookmarkStart w:id="12" w:name="how-its-paid-for-usage-plus-performance"/>
    <w:p>
      <w:pPr>
        <w:pStyle w:val="Heading2"/>
      </w:pPr>
      <w:r>
        <w:t xml:space="preserve">How it’s paid for: usage plus performance</w:t>
      </w:r>
    </w:p>
    <w:p>
      <w:pPr>
        <w:pStyle w:val="FirstParagraph"/>
      </w:pPr>
      <w:r>
        <w:t xml:space="preserve">There is no monthly fee. 7FF covers the AI and texting usage at cost, with no markup. We earn a share of each deal from a partner we bring back, set by that partner’s tier, so our return grows only as 7FF’s does: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Partner tier</w:t>
            </w:r>
          </w:p>
        </w:tc>
        <w:tc>
          <w:tcPr/>
          <w:p>
            <w:pPr>
              <w:pStyle w:val="Compact"/>
            </w:pPr>
            <w:r>
              <w:t xml:space="preserve">Our share of that partner’s deals</w:t>
            </w:r>
          </w:p>
        </w:tc>
      </w:tr>
      <w:tr>
        <w:tc>
          <w:tcPr/>
          <w:p>
            <w:pPr>
              <w:pStyle w:val="Compact"/>
            </w:pPr>
            <w:r>
              <w:t xml:space="preserve">CEO</w:t>
            </w:r>
          </w:p>
        </w:tc>
        <w:tc>
          <w:tcPr/>
          <w:p>
            <w:pPr>
              <w:pStyle w:val="Compact"/>
            </w:pPr>
            <w:r>
              <w:t xml:space="preserve">5%</w:t>
            </w:r>
          </w:p>
        </w:tc>
      </w:tr>
      <w:tr>
        <w:tc>
          <w:tcPr/>
          <w:p>
            <w:pPr>
              <w:pStyle w:val="Compact"/>
            </w:pPr>
            <w:r>
              <w:t xml:space="preserve">Executive</w:t>
            </w:r>
          </w:p>
        </w:tc>
        <w:tc>
          <w:tcPr/>
          <w:p>
            <w:pPr>
              <w:pStyle w:val="Compact"/>
            </w:pPr>
            <w:r>
              <w:t xml:space="preserve">10%</w:t>
            </w:r>
          </w:p>
        </w:tc>
      </w:tr>
      <w:tr>
        <w:tc>
          <w:tcPr/>
          <w:p>
            <w:pPr>
              <w:pStyle w:val="Compact"/>
            </w:pPr>
            <w:r>
              <w:t xml:space="preserve">Apprentice</w:t>
            </w:r>
          </w:p>
        </w:tc>
        <w:tc>
          <w:tcPr/>
          <w:p>
            <w:pPr>
              <w:pStyle w:val="Compact"/>
            </w:pPr>
            <w:r>
              <w:t xml:space="preserve">10%</w:t>
            </w:r>
          </w:p>
        </w:tc>
      </w:tr>
      <w:tr>
        <w:tc>
          <w:tcPr/>
          <w:p>
            <w:pPr>
              <w:pStyle w:val="Compact"/>
            </w:pPr>
            <w:r>
              <w:t xml:space="preserve">Free</w:t>
            </w:r>
          </w:p>
        </w:tc>
        <w:tc>
          <w:tcPr/>
          <w:p>
            <w:pPr>
              <w:pStyle w:val="Compact"/>
            </w:pPr>
            <w:r>
              <w:t xml:space="preserve">15%</w:t>
            </w:r>
          </w:p>
        </w:tc>
      </w:tr>
    </w:tbl>
    <w:bookmarkEnd w:id="12"/>
    <w:bookmarkStart w:id="13" w:name="what-it-costs-to-run"/>
    <w:p>
      <w:pPr>
        <w:pStyle w:val="Heading2"/>
      </w:pPr>
      <w:r>
        <w:t xml:space="preserve">What it costs to run</w:t>
      </w:r>
    </w:p>
    <w:p>
      <w:pPr>
        <w:pStyle w:val="FirstParagraph"/>
      </w:pPr>
      <w:r>
        <w:t xml:space="preserve">The agent runs on GPT-6 Luna Pro through OpenRouter, with GLM 5.3 Flash (open weights) as the fallback, and Jev to read, check and classify. Projected from published OpenRouter, TypeSafe and HighLevel rates, at two and five times the base estimate: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Reactivation, one time</w:t>
            </w:r>
          </w:p>
        </w:tc>
        <w:tc>
          <w:tcPr/>
          <w:p>
            <w:pPr>
              <w:pStyle w:val="Compact"/>
            </w:pPr>
            <w:r>
              <w:t xml:space="preserve">Every month after</w:t>
            </w:r>
          </w:p>
        </w:tc>
      </w:tr>
      <w:tr>
        <w:tc>
          <w:tcPr/>
          <w:p>
            <w:pPr>
              <w:pStyle w:val="Compact"/>
            </w:pPr>
            <w:r>
              <w:t xml:space="preserve">AI, projected at 2x</w:t>
            </w:r>
          </w:p>
        </w:tc>
        <w:tc>
          <w:tcPr/>
          <w:p>
            <w:pPr>
              <w:pStyle w:val="Compact"/>
            </w:pPr>
            <w:r>
              <w:t xml:space="preserve">$20.10</w:t>
            </w:r>
          </w:p>
        </w:tc>
        <w:tc>
          <w:tcPr/>
          <w:p>
            <w:pPr>
              <w:pStyle w:val="Compact"/>
            </w:pPr>
            <w:r>
              <w:t xml:space="preserve">$71.44</w:t>
            </w:r>
          </w:p>
        </w:tc>
      </w:tr>
      <w:tr>
        <w:tc>
          <w:tcPr/>
          <w:p>
            <w:pPr>
              <w:pStyle w:val="Compact"/>
            </w:pPr>
            <w:r>
              <w:t xml:space="preserve">AI, projected at 5x</w:t>
            </w:r>
          </w:p>
        </w:tc>
        <w:tc>
          <w:tcPr/>
          <w:p>
            <w:pPr>
              <w:pStyle w:val="Compact"/>
            </w:pPr>
            <w:r>
              <w:t xml:space="preserve">$50.25</w:t>
            </w:r>
          </w:p>
        </w:tc>
        <w:tc>
          <w:tcPr/>
          <w:p>
            <w:pPr>
              <w:pStyle w:val="Compact"/>
            </w:pPr>
            <w:r>
              <w:t xml:space="preserve">$178.60</w:t>
            </w:r>
          </w:p>
        </w:tc>
      </w:tr>
      <w:tr>
        <w:tc>
          <w:tcPr/>
          <w:p>
            <w:pPr>
              <w:pStyle w:val="Compact"/>
            </w:pPr>
            <w:r>
              <w:t xml:space="preserve">Texting through HighLevel, projected at 2x</w:t>
            </w:r>
          </w:p>
        </w:tc>
        <w:tc>
          <w:tcPr/>
          <w:p>
            <w:pPr>
              <w:pStyle w:val="Compact"/>
            </w:pPr>
            <w:r>
              <w:t xml:space="preserve">$710.48</w:t>
            </w:r>
          </w:p>
        </w:tc>
        <w:tc>
          <w:tcPr/>
          <w:p>
            <w:pPr>
              <w:pStyle w:val="Compact"/>
            </w:pPr>
            <w:r>
              <w:t xml:space="preserve">$835.68</w:t>
            </w:r>
          </w:p>
        </w:tc>
      </w:tr>
      <w:tr>
        <w:tc>
          <w:tcPr/>
          <w:p>
            <w:pPr>
              <w:pStyle w:val="Compact"/>
            </w:pPr>
            <w:r>
              <w:t xml:space="preserve">Texting through HighLevel, projected at 5x</w:t>
            </w:r>
          </w:p>
        </w:tc>
        <w:tc>
          <w:tcPr/>
          <w:p>
            <w:pPr>
              <w:pStyle w:val="Compact"/>
            </w:pPr>
            <w:r>
              <w:t xml:space="preserve">$1,776.20</w:t>
            </w:r>
          </w:p>
        </w:tc>
        <w:tc>
          <w:tcPr/>
          <w:p>
            <w:pPr>
              <w:pStyle w:val="Compact"/>
            </w:pPr>
            <w:r>
              <w:t xml:space="preserve">$2,089.20</w:t>
            </w:r>
          </w:p>
        </w:tc>
      </w:tr>
    </w:tbl>
    <w:p>
      <w:pPr>
        <w:pStyle w:val="BodyText"/>
      </w:pPr>
      <w:r>
        <w:t xml:space="preserve">The reactivation covers a personal kickoff text to each of the 12,950 inactive partners and every conversation that follows. The monthly figures keep all 13,000 partners on the two-week cadence. Texting is billed by HighLevel on 7FF’s own sub-account.</w:t>
      </w:r>
    </w:p>
    <w:bookmarkEnd w:id="13"/>
    <w:bookmarkStart w:id="14" w:name="what-we-need-from-7ff"/>
    <w:p>
      <w:pPr>
        <w:pStyle w:val="Heading2"/>
      </w:pPr>
      <w:r>
        <w:t xml:space="preserve">What we need from 7FF</w:t>
      </w:r>
    </w:p>
    <w:p>
      <w:pPr>
        <w:pStyle w:val="Compact"/>
        <w:numPr>
          <w:ilvl w:val="0"/>
          <w:numId w:val="1004"/>
        </w:numPr>
      </w:pPr>
      <w:r>
        <w:t xml:space="preserve">7FF’s NDA, signed before any partner data moves</w:t>
      </w:r>
    </w:p>
    <w:p>
      <w:pPr>
        <w:pStyle w:val="Compact"/>
        <w:numPr>
          <w:ilvl w:val="0"/>
          <w:numId w:val="1004"/>
        </w:numPr>
      </w:pPr>
      <w:r>
        <w:t xml:space="preserve">Read access to the Zoho partner records: name, tier, contact details, join date and deal history</w:t>
      </w:r>
    </w:p>
    <w:p>
      <w:pPr>
        <w:pStyle w:val="Compact"/>
        <w:numPr>
          <w:ilvl w:val="0"/>
          <w:numId w:val="1004"/>
        </w:numPr>
      </w:pPr>
      <w:r>
        <w:t xml:space="preserve">A GoHighLevel sub-account with API access, and an A2P 10DLC-registered texting number</w:t>
      </w:r>
    </w:p>
    <w:p>
      <w:pPr>
        <w:pStyle w:val="Compact"/>
        <w:numPr>
          <w:ilvl w:val="0"/>
          <w:numId w:val="1004"/>
        </w:numPr>
      </w:pPr>
      <w:r>
        <w:t xml:space="preserve">A named partner lead who approves offers and program copy</w:t>
      </w:r>
    </w:p>
    <w:p>
      <w:pPr>
        <w:pStyle w:val="Compact"/>
        <w:numPr>
          <w:ilvl w:val="0"/>
          <w:numId w:val="1004"/>
        </w:numPr>
      </w:pPr>
      <w:r>
        <w:t xml:space="preserve">The deal records used to calculate our share</w:t>
      </w:r>
    </w:p>
    <w:bookmarkEnd w:id="14"/>
    <w:bookmarkEnd w:id="15"/>
    <w:bookmarkStart w:id="33" w:name="part-2-agreement"/>
    <w:p>
      <w:pPr>
        <w:pStyle w:val="Heading1"/>
      </w:pPr>
      <w:r>
        <w:t xml:space="preserve">Part 2: Agreement</w:t>
      </w:r>
    </w:p>
    <w:p>
      <w:pPr>
        <w:pStyle w:val="FirstParagraph"/>
      </w:pPr>
      <w:r>
        <w:t xml:space="preserve">This Agreement is between the 7FF entity and the Provider entity named in the Key terms below. It takes effect on the date of the last signature below (the</w:t>
      </w:r>
      <w:r>
        <w:t xml:space="preserve"> </w:t>
      </w:r>
      <w:r>
        <w:t xml:space="preserve">“Effective Date”</w:t>
      </w:r>
      <w:r>
        <w:t xml:space="preserve">).</w:t>
      </w:r>
    </w:p>
    <w:bookmarkStart w:id="16" w:name="key-terms"/>
    <w:p>
      <w:pPr>
        <w:pStyle w:val="Heading2"/>
      </w:pPr>
      <w:r>
        <w:t xml:space="preserve">Key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Entry</w:t>
            </w:r>
          </w:p>
        </w:tc>
      </w:tr>
      <w:tr>
        <w:tc>
          <w:tcPr/>
          <w:p>
            <w:pPr>
              <w:pStyle w:val="Compact"/>
            </w:pPr>
            <w:r>
              <w:t xml:space="preserve">7FF legal entity (name, state, entity type)</w:t>
            </w:r>
          </w:p>
        </w:tc>
        <w:tc>
          <w:tcPr/>
          <w:p>
            <w:pPr>
              <w:pStyle w:val="Compact"/>
            </w:pPr>
          </w:p>
        </w:tc>
      </w:tr>
      <w:tr>
        <w:tc>
          <w:tcPr/>
          <w:p>
            <w:pPr>
              <w:pStyle w:val="Compact"/>
            </w:pPr>
            <w:r>
              <w:t xml:space="preserve">Provider legal entity (name, state, entity type)</w:t>
            </w:r>
          </w:p>
        </w:tc>
        <w:tc>
          <w:tcPr/>
          <w:p>
            <w:pPr>
              <w:pStyle w:val="Compact"/>
            </w:pPr>
          </w:p>
        </w:tc>
      </w:tr>
      <w:tr>
        <w:tc>
          <w:tcPr/>
          <w:p>
            <w:pPr>
              <w:pStyle w:val="Compact"/>
            </w:pPr>
            <w:r>
              <w:t xml:space="preserve">The performance share is calculated on</w:t>
            </w:r>
          </w:p>
        </w:tc>
        <w:tc>
          <w:tcPr/>
          <w:p>
            <w:pPr>
              <w:pStyle w:val="Compact"/>
            </w:pPr>
          </w:p>
        </w:tc>
      </w:tr>
      <w:tr>
        <w:tc>
          <w:tcPr/>
          <w:p>
            <w:pPr>
              <w:pStyle w:val="Compact"/>
            </w:pPr>
            <w:r>
              <w:t xml:space="preserve">Governing law (state)</w:t>
            </w:r>
          </w:p>
        </w:tc>
        <w:tc>
          <w:tcPr/>
          <w:p>
            <w:pPr>
              <w:pStyle w:val="Compact"/>
            </w:pPr>
            <w:r>
              <w:t xml:space="preserve">Florida</w:t>
            </w:r>
          </w:p>
        </w:tc>
      </w:tr>
    </w:tbl>
    <w:bookmarkEnd w:id="16"/>
    <w:bookmarkStart w:id="17" w:name="services"/>
    <w:p>
      <w:pPr>
        <w:pStyle w:val="Heading2"/>
      </w:pPr>
      <w:r>
        <w:t xml:space="preserve">1. Services</w:t>
      </w:r>
    </w:p>
    <w:p>
      <w:pPr>
        <w:pStyle w:val="FirstParagraph"/>
      </w:pPr>
      <w:r>
        <w:t xml:space="preserve">Provider will act as the affiliate manager for 7FF’s partner program each month (the</w:t>
      </w:r>
      <w:r>
        <w:t xml:space="preserve"> </w:t>
      </w:r>
      <w:r>
        <w:t xml:space="preserve">“Program”</w:t>
      </w:r>
      <w:r>
        <w:t xml:space="preserve">), as described in Part 1. The Services include:</w:t>
      </w:r>
    </w:p>
    <w:p>
      <w:pPr>
        <w:pStyle w:val="Compact"/>
        <w:numPr>
          <w:ilvl w:val="0"/>
          <w:numId w:val="1005"/>
        </w:numPr>
      </w:pPr>
      <w:r>
        <w:t xml:space="preserve">Phase 1, the reactivation kickoff for 7FF’s inactive partners;</w:t>
      </w:r>
    </w:p>
    <w:p>
      <w:pPr>
        <w:pStyle w:val="Compact"/>
        <w:numPr>
          <w:ilvl w:val="0"/>
          <w:numId w:val="1005"/>
        </w:numPr>
      </w:pPr>
      <w:r>
        <w:t xml:space="preserve">a partner profile for each partner in 7FF’s GoHighLevel, kept current;</w:t>
      </w:r>
    </w:p>
    <w:p>
      <w:pPr>
        <w:pStyle w:val="Compact"/>
        <w:numPr>
          <w:ilvl w:val="0"/>
          <w:numId w:val="1005"/>
        </w:numPr>
      </w:pPr>
      <w:r>
        <w:t xml:space="preserve">an ongoing relationship cadence, reply handling and follow-ups, run by the AI Funding Affiliate Manager under human approval;</w:t>
      </w:r>
    </w:p>
    <w:p>
      <w:pPr>
        <w:pStyle w:val="Compact"/>
        <w:numPr>
          <w:ilvl w:val="0"/>
          <w:numId w:val="1005"/>
        </w:numPr>
      </w:pPr>
      <w:r>
        <w:t xml:space="preserve">a revenue plan for each partner who engages; and</w:t>
      </w:r>
    </w:p>
    <w:p>
      <w:pPr>
        <w:pStyle w:val="Compact"/>
        <w:numPr>
          <w:ilvl w:val="0"/>
          <w:numId w:val="1005"/>
        </w:numPr>
      </w:pPr>
      <w:r>
        <w:t xml:space="preserve">a weekly scorecard.</w:t>
      </w:r>
    </w:p>
    <w:p>
      <w:pPr>
        <w:pStyle w:val="FirstParagraph"/>
      </w:pPr>
      <w:r>
        <w:t xml:space="preserve">Provider may use its own staff, contractors and software to deliver the Services.</w:t>
      </w:r>
    </w:p>
    <w:bookmarkEnd w:id="17"/>
    <w:bookmarkStart w:id="18" w:name="rollout"/>
    <w:p>
      <w:pPr>
        <w:pStyle w:val="Heading2"/>
      </w:pPr>
      <w:r>
        <w:t xml:space="preserve">2. Rollout</w:t>
      </w:r>
    </w:p>
    <w:p>
      <w:pPr>
        <w:pStyle w:val="FirstParagraph"/>
      </w:pPr>
      <w:r>
        <w:t xml:space="preserve">The reactivation kicks off in batches and will continue in waves.</w:t>
      </w:r>
    </w:p>
    <w:bookmarkEnd w:id="18"/>
    <w:bookmarkStart w:id="19" w:name="what-7ff-provides"/>
    <w:p>
      <w:pPr>
        <w:pStyle w:val="Heading2"/>
      </w:pPr>
      <w:r>
        <w:t xml:space="preserve">3. What 7FF provides</w:t>
      </w:r>
    </w:p>
    <w:p>
      <w:pPr>
        <w:pStyle w:val="FirstParagraph"/>
      </w:pPr>
      <w:r>
        <w:t xml:space="preserve">7FF will provide the items listed under</w:t>
      </w:r>
      <w:r>
        <w:t xml:space="preserve"> </w:t>
      </w:r>
      <w:r>
        <w:t xml:space="preserve">“What we need from 7FF”</w:t>
      </w:r>
      <w:r>
        <w:t xml:space="preserve"> </w:t>
      </w:r>
      <w:r>
        <w:t xml:space="preserve">in Part 1. 7FF confirms that the partners it puts in scope for texting have agreed to receive texts from 7FF, and will tell Provider about any partner who has not.</w:t>
      </w:r>
    </w:p>
    <w:bookmarkEnd w:id="19"/>
    <w:bookmarkStart w:id="20" w:name="usage-costs"/>
    <w:p>
      <w:pPr>
        <w:pStyle w:val="Heading2"/>
      </w:pPr>
      <w:r>
        <w:t xml:space="preserve">4. Usage costs</w:t>
      </w:r>
    </w:p>
    <w:p>
      <w:pPr>
        <w:pStyle w:val="FirstParagraph"/>
      </w:pPr>
      <w:r>
        <w:t xml:space="preserve">7FF pays the usage costs of running the Program at cost, with no markup:</w:t>
      </w:r>
    </w:p>
    <w:p>
      <w:pPr>
        <w:pStyle w:val="Compact"/>
        <w:numPr>
          <w:ilvl w:val="0"/>
          <w:numId w:val="1006"/>
        </w:numPr>
      </w:pPr>
      <w:r>
        <w:rPr>
          <w:b/>
          <w:bCs/>
        </w:rPr>
        <w:t xml:space="preserve">AI usage.</w:t>
      </w:r>
      <w:r>
        <w:t xml:space="preserve"> </w:t>
      </w:r>
      <w:r>
        <w:t xml:space="preserve">Provider pays the model providers and bills 7FF monthly at cost, with a usage report.</w:t>
      </w:r>
    </w:p>
    <w:p>
      <w:pPr>
        <w:pStyle w:val="Compact"/>
        <w:numPr>
          <w:ilvl w:val="0"/>
          <w:numId w:val="1006"/>
        </w:numPr>
      </w:pPr>
      <w:r>
        <w:rPr>
          <w:b/>
          <w:bCs/>
        </w:rPr>
        <w:t xml:space="preserve">Texting.</w:t>
      </w:r>
      <w:r>
        <w:t xml:space="preserve"> </w:t>
      </w:r>
      <w:r>
        <w:t xml:space="preserve">HighLevel bills texting and A2P 10DLC registration fees to 7FF’s GoHighLevel sub-account directly.</w:t>
      </w:r>
    </w:p>
    <w:bookmarkEnd w:id="20"/>
    <w:bookmarkStart w:id="21" w:name="performance-share"/>
    <w:p>
      <w:pPr>
        <w:pStyle w:val="Heading2"/>
      </w:pPr>
      <w:r>
        <w:t xml:space="preserve">5. Performance share</w:t>
      </w:r>
    </w:p>
    <w:p>
      <w:pPr>
        <w:pStyle w:val="FirstParagraph"/>
      </w:pPr>
      <w:r>
        <w:t xml:space="preserve">For each deal submitted by a Re-engaged Partner, 7FF pays Provider the share below of the amount named in the Key terms, set by that partner’s tier on the date the deal is submitted: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Partner tier</w:t>
            </w:r>
          </w:p>
        </w:tc>
        <w:tc>
          <w:tcPr/>
          <w:p>
            <w:pPr>
              <w:pStyle w:val="Compact"/>
            </w:pPr>
            <w:r>
              <w:t xml:space="preserve">Provider’s share</w:t>
            </w:r>
          </w:p>
        </w:tc>
      </w:tr>
      <w:tr>
        <w:tc>
          <w:tcPr/>
          <w:p>
            <w:pPr>
              <w:pStyle w:val="Compact"/>
            </w:pPr>
            <w:r>
              <w:t xml:space="preserve">CEO</w:t>
            </w:r>
          </w:p>
        </w:tc>
        <w:tc>
          <w:tcPr/>
          <w:p>
            <w:pPr>
              <w:pStyle w:val="Compact"/>
            </w:pPr>
            <w:r>
              <w:t xml:space="preserve">5%</w:t>
            </w:r>
          </w:p>
        </w:tc>
      </w:tr>
      <w:tr>
        <w:tc>
          <w:tcPr/>
          <w:p>
            <w:pPr>
              <w:pStyle w:val="Compact"/>
            </w:pPr>
            <w:r>
              <w:t xml:space="preserve">Executive</w:t>
            </w:r>
          </w:p>
        </w:tc>
        <w:tc>
          <w:tcPr/>
          <w:p>
            <w:pPr>
              <w:pStyle w:val="Compact"/>
            </w:pPr>
            <w:r>
              <w:t xml:space="preserve">10%</w:t>
            </w:r>
          </w:p>
        </w:tc>
      </w:tr>
      <w:tr>
        <w:tc>
          <w:tcPr/>
          <w:p>
            <w:pPr>
              <w:pStyle w:val="Compact"/>
            </w:pPr>
            <w:r>
              <w:t xml:space="preserve">Apprentice</w:t>
            </w:r>
          </w:p>
        </w:tc>
        <w:tc>
          <w:tcPr/>
          <w:p>
            <w:pPr>
              <w:pStyle w:val="Compact"/>
            </w:pPr>
            <w:r>
              <w:t xml:space="preserve">10%</w:t>
            </w:r>
          </w:p>
        </w:tc>
      </w:tr>
      <w:tr>
        <w:tc>
          <w:tcPr/>
          <w:p>
            <w:pPr>
              <w:pStyle w:val="Compact"/>
            </w:pPr>
            <w:r>
              <w:t xml:space="preserve">Free</w:t>
            </w:r>
          </w:p>
        </w:tc>
        <w:tc>
          <w:tcPr/>
          <w:p>
            <w:pPr>
              <w:pStyle w:val="Compact"/>
            </w:pPr>
            <w:r>
              <w:t xml:space="preserve">15%</w:t>
            </w:r>
          </w:p>
        </w:tc>
      </w:tr>
    </w:tbl>
    <w:p>
      <w:pPr>
        <w:pStyle w:val="BodyText"/>
      </w:pPr>
      <w:r>
        <w:t xml:space="preserve">A</w:t>
      </w:r>
      <w:r>
        <w:t xml:space="preserve"> </w:t>
      </w:r>
      <w:r>
        <w:rPr>
          <w:b/>
          <w:bCs/>
        </w:rPr>
        <w:t xml:space="preserve">Re-engaged Partner</w:t>
      </w:r>
      <w:r>
        <w:t xml:space="preserve"> </w:t>
      </w:r>
      <w:r>
        <w:t xml:space="preserve">is a partner who was inactive on the Effective Date and who replies to the Program’s outreach.</w:t>
      </w:r>
    </w:p>
    <w:bookmarkEnd w:id="21"/>
    <w:bookmarkStart w:id="22" w:name="reporting-and-payment"/>
    <w:p>
      <w:pPr>
        <w:pStyle w:val="Heading2"/>
      </w:pPr>
      <w:r>
        <w:t xml:space="preserve">6. Reporting and payment</w:t>
      </w:r>
    </w:p>
    <w:p>
      <w:pPr>
        <w:pStyle w:val="FirstParagraph"/>
      </w:pPr>
      <w:r>
        <w:t xml:space="preserve">Provider sends a weekly scorecard. Within 10 days after each month ends, 7FF sends Provider the deals submitted and funded that month by Re-engaged Partners, with each partner’s tier. Provider then invoices the performance share and the month’s AI usage together, and 7FF pays within 15 days of the invoice. Each party may review the other’s records behind an invoice on reasonable notice.</w:t>
      </w:r>
    </w:p>
    <w:bookmarkEnd w:id="22"/>
    <w:bookmarkStart w:id="23" w:name="messaging-rules"/>
    <w:p>
      <w:pPr>
        <w:pStyle w:val="Heading2"/>
      </w:pPr>
      <w:r>
        <w:t xml:space="preserve">7. Messaging rules</w:t>
      </w:r>
    </w:p>
    <w:p>
      <w:pPr>
        <w:pStyle w:val="FirstParagraph"/>
      </w:pPr>
      <w:r>
        <w:t xml:space="preserve">A person on Provider’s team approves every message.</w:t>
      </w:r>
    </w:p>
    <w:bookmarkEnd w:id="23"/>
    <w:bookmarkStart w:id="24" w:name="confidentiality-and-partner-data"/>
    <w:p>
      <w:pPr>
        <w:pStyle w:val="Heading2"/>
      </w:pPr>
      <w:r>
        <w:t xml:space="preserve">8. Confidentiality and partner data</w:t>
      </w:r>
    </w:p>
    <w:p>
      <w:pPr>
        <w:pStyle w:val="FirstParagraph"/>
      </w:pPr>
      <w:r>
        <w:t xml:space="preserve">7FF’s non-disclosure agreement governs all information 7FF shares, including partner data. In addition, Provider will:</w:t>
      </w:r>
    </w:p>
    <w:p>
      <w:pPr>
        <w:pStyle w:val="Compact"/>
        <w:numPr>
          <w:ilvl w:val="0"/>
          <w:numId w:val="1007"/>
        </w:numPr>
      </w:pPr>
      <w:r>
        <w:t xml:space="preserve">read partner data from Zoho without writing to it;</w:t>
      </w:r>
    </w:p>
    <w:p>
      <w:pPr>
        <w:pStyle w:val="Compact"/>
        <w:numPr>
          <w:ilvl w:val="0"/>
          <w:numId w:val="1007"/>
        </w:numPr>
      </w:pPr>
      <w:r>
        <w:t xml:space="preserve">use partner data only to run the Program;</w:t>
      </w:r>
    </w:p>
    <w:p>
      <w:pPr>
        <w:pStyle w:val="Compact"/>
        <w:numPr>
          <w:ilvl w:val="0"/>
          <w:numId w:val="1007"/>
        </w:numPr>
      </w:pPr>
      <w:r>
        <w:t xml:space="preserve">never sell partner data, or share it outside the Program, except with the service providers that run the Program (GoHighLevel, the model providers reached through OpenRouter, limited to providers that don’t train on the data, and TypeSafe for Jev), only as needed to run it; and</w:t>
      </w:r>
    </w:p>
    <w:p>
      <w:pPr>
        <w:pStyle w:val="Compact"/>
        <w:numPr>
          <w:ilvl w:val="0"/>
          <w:numId w:val="1007"/>
        </w:numPr>
      </w:pPr>
      <w:r>
        <w:t xml:space="preserve">return or delete partner data within 30 days after this Agreement ends.</w:t>
      </w:r>
    </w:p>
    <w:bookmarkEnd w:id="24"/>
    <w:bookmarkStart w:id="25" w:name="ownership"/>
    <w:p>
      <w:pPr>
        <w:pStyle w:val="Heading2"/>
      </w:pPr>
      <w:r>
        <w:t xml:space="preserve">9. Ownership</w:t>
      </w:r>
    </w:p>
    <w:p>
      <w:pPr>
        <w:pStyle w:val="FirstParagraph"/>
      </w:pPr>
      <w:r>
        <w:t xml:space="preserve">Partner data, partner profiles and 7FF’s content belong to 7FF. The workflows, fields, tags, pipelines and templates built in 7FF’s GoHighLevel belong to 7FF and stay with it. Provider keeps its agent software, code, prompts and methods, including improvements made while delivering the Program.</w:t>
      </w:r>
    </w:p>
    <w:bookmarkEnd w:id="25"/>
    <w:bookmarkStart w:id="26" w:name="community-release-and-coaching"/>
    <w:p>
      <w:pPr>
        <w:pStyle w:val="Heading2"/>
      </w:pPr>
      <w:r>
        <w:t xml:space="preserve">10. Community release and coaching</w:t>
      </w:r>
    </w:p>
    <w:p>
      <w:pPr>
        <w:pStyle w:val="FirstParagraph"/>
      </w:pPr>
      <w:r>
        <w:t xml:space="preserve">By separate written agreement, the parties may extend the Program to the wider community, including affiliate coaching for group members and a controlled release of the system to the community.</w:t>
      </w:r>
    </w:p>
    <w:bookmarkEnd w:id="26"/>
    <w:bookmarkStart w:id="27" w:name="case-study"/>
    <w:p>
      <w:pPr>
        <w:pStyle w:val="Heading2"/>
      </w:pPr>
      <w:r>
        <w:t xml:space="preserve">11. Case study</w:t>
      </w:r>
    </w:p>
    <w:p>
      <w:pPr>
        <w:pStyle w:val="FirstParagraph"/>
      </w:pPr>
      <w:r>
        <w:t xml:space="preserve">With 7FF’s written approval of the content, Provider may present the Program’s results as a case study, including at Funding Machine Live and to other prospective clients.</w:t>
      </w:r>
    </w:p>
    <w:bookmarkEnd w:id="27"/>
    <w:bookmarkStart w:id="28" w:name="no-guarantee-of-results"/>
    <w:p>
      <w:pPr>
        <w:pStyle w:val="Heading2"/>
      </w:pPr>
      <w:r>
        <w:t xml:space="preserve">12. No guarantee of results</w:t>
      </w:r>
    </w:p>
    <w:p>
      <w:pPr>
        <w:pStyle w:val="FirstParagraph"/>
      </w:pPr>
      <w:r>
        <w:t xml:space="preserve">Provider will deliver the Services with care, but does not guarantee any number of replies, re-engaged partners or deals. Cost figures in Part 1 are projections from published rates, not fixed prices.</w:t>
      </w:r>
    </w:p>
    <w:bookmarkEnd w:id="28"/>
    <w:bookmarkStart w:id="29" w:name="term-and-ending-the-agreement"/>
    <w:p>
      <w:pPr>
        <w:pStyle w:val="Heading2"/>
      </w:pPr>
      <w:r>
        <w:t xml:space="preserve">13. Term and ending the Agreement</w:t>
      </w:r>
    </w:p>
    <w:p>
      <w:pPr>
        <w:pStyle w:val="FirstParagraph"/>
      </w:pPr>
      <w:r>
        <w:t xml:space="preserve">The first 90 days after the Effective Date are the Kickstart. During the Kickstart, either party may end this Agreement only if the other materially breaches it and does not fix the breach within 15 days of written notice. At the end of the Kickstart the parties review the results together. The Agreement then continues month to month, and either party may end it with 30 days’ written notice. The parties intend to run the Program for 6 to 12 months.</w:t>
      </w:r>
    </w:p>
    <w:p>
      <w:pPr>
        <w:pStyle w:val="BodyText"/>
      </w:pPr>
      <w:r>
        <w:t xml:space="preserve">When the Agreement ends, Provider stops all outreach and handles partner data under section 8. Performance shares on deals submitted by Re-engaged Partners before the end date remain payable, as do usage costs incurred before the end date.</w:t>
      </w:r>
    </w:p>
    <w:bookmarkEnd w:id="29"/>
    <w:bookmarkStart w:id="30" w:name="liability"/>
    <w:p>
      <w:pPr>
        <w:pStyle w:val="Heading2"/>
      </w:pPr>
      <w:r>
        <w:t xml:space="preserve">14. Liability</w:t>
      </w:r>
    </w:p>
    <w:p>
      <w:pPr>
        <w:pStyle w:val="FirstParagraph"/>
      </w:pPr>
      <w:r>
        <w:t xml:space="preserve">Neither party is liable to the other for indirect, incidental or consequential damages, or for lost profits. Except for breaches of section 8, each party’s total liability under this Agreement is limited to the amounts paid or payable to Provider under it in the 12 months before the claim.</w:t>
      </w:r>
    </w:p>
    <w:bookmarkEnd w:id="30"/>
    <w:bookmarkStart w:id="31" w:name="general"/>
    <w:p>
      <w:pPr>
        <w:pStyle w:val="Heading2"/>
      </w:pPr>
      <w:r>
        <w:t xml:space="preserve">15. General</w:t>
      </w:r>
    </w:p>
    <w:p>
      <w:pPr>
        <w:pStyle w:val="FirstParagraph"/>
      </w:pPr>
      <w:r>
        <w:t xml:space="preserve">The parties are independent contractors. Neither is the other’s employee, partner or agent, and neither can bind the other. This Agreement, together with 7FF’s NDA, is the parties’ entire agreement on this subject, and changes must be in writing and signed by both. It is governed by the laws of the state named in the Key terms. It may be signed electronically and in counterparts.</w:t>
      </w:r>
    </w:p>
    <w:bookmarkEnd w:id="31"/>
    <w:bookmarkStart w:id="32" w:name="signatures"/>
    <w:p>
      <w:pPr>
        <w:pStyle w:val="Heading2"/>
      </w:pPr>
      <w:r>
        <w:t xml:space="preserve">Signatures</w:t>
      </w:r>
    </w:p>
    <w:p>
      <w:pPr>
        <w:pStyle w:val="FirstParagraph"/>
      </w:pPr>
      <w:r>
        <w:t xml:space="preserve">The parties sign this Agreement to show they agree to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7 Figures Funding</w:t>
            </w:r>
          </w:p>
        </w:tc>
        <w:tc>
          <w:tcPr/>
          <w:p>
            <w:pPr>
              <w:pStyle w:val="Compact"/>
            </w:pPr>
            <w:r>
              <w:t xml:space="preserve">Provider</w:t>
            </w:r>
          </w:p>
        </w:tc>
      </w:tr>
      <w:tr>
        <w:tc>
          <w:tcPr/>
          <w:p>
            <w:pPr>
              <w:pStyle w:val="Compact"/>
            </w:pPr>
            <w:r>
              <w:t xml:space="preserve">Name:</w:t>
            </w:r>
          </w:p>
        </w:tc>
        <w:tc>
          <w:tcPr/>
          <w:p>
            <w:pPr>
              <w:pStyle w:val="Compact"/>
            </w:pPr>
            <w:r>
              <w:t xml:space="preserve">Name: Justin Bellware</w:t>
            </w:r>
          </w:p>
        </w:tc>
      </w:tr>
      <w:tr>
        <w:tc>
          <w:tcPr/>
          <w:p>
            <w:pPr>
              <w:pStyle w:val="Compact"/>
            </w:pPr>
            <w:r>
              <w:t xml:space="preserve">Title:</w:t>
            </w:r>
          </w:p>
        </w:tc>
        <w:tc>
          <w:tcPr/>
          <w:p>
            <w:pPr>
              <w:pStyle w:val="Compact"/>
            </w:pPr>
            <w:r>
              <w:t xml:space="preserve">Title:</w:t>
            </w:r>
          </w:p>
        </w:tc>
      </w:tr>
      <w:tr>
        <w:tc>
          <w:tcPr/>
          <w:p>
            <w:pPr>
              <w:pStyle w:val="Compact"/>
            </w:pPr>
            <w:r>
              <w:t xml:space="preserve">Signature:</w:t>
            </w:r>
          </w:p>
        </w:tc>
        <w:tc>
          <w:tcPr/>
          <w:p>
            <w:pPr>
              <w:pStyle w:val="Compact"/>
            </w:pPr>
            <w:r>
              <w:t xml:space="preserve">Signature:</w:t>
            </w:r>
          </w:p>
        </w:tc>
      </w:tr>
      <w:tr>
        <w:tc>
          <w:tcPr/>
          <w:p>
            <w:pPr>
              <w:pStyle w:val="Compact"/>
            </w:pPr>
            <w:r>
              <w:t xml:space="preserve">Date:</w:t>
            </w:r>
          </w:p>
        </w:tc>
        <w:tc>
          <w:tcPr/>
          <w:p>
            <w:pPr>
              <w:pStyle w:val="Compact"/>
            </w:pPr>
            <w:r>
              <w:t xml:space="preserve">Date:</w:t>
            </w:r>
          </w:p>
        </w:tc>
      </w:tr>
    </w:tbl>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Proposal and Agreement</dc:title>
  <dc:creator/>
  <cp:keywords/>
  <dcterms:created xsi:type="dcterms:W3CDTF">2026-09-24T15:48:26Z</dcterms:created>
  <dcterms:modified xsi:type="dcterms:W3CDTF">2026-09-24T15:48:26Z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Affiliate management for the 7 Figures Funding partner program</vt:lpwstr>
  </property>
</Properties>
</file>