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Letter of Intent</w:t>
      </w:r>
    </w:p>
    <w:p>
      <w:pPr>
        <w:pStyle w:val="Subtitle"/>
      </w:pPr>
      <w:r>
        <w:t xml:space="preserve">Partner reactivation program for 7 Figures Funding</w:t>
      </w:r>
    </w:p>
    <w:p>
      <w:pPr>
        <w:pStyle w:val="FirstParagraph"/>
      </w:pPr>
      <w:r>
        <w:rPr>
          <w:b/>
          <w:bCs/>
        </w:rPr>
        <w:t xml:space="preserve">Draft for review by both parties and their counsel.</w:t>
      </w:r>
      <w:r>
        <w:t xml:space="preserve"> </w:t>
      </w:r>
      <w:r>
        <w:t xml:space="preserve">This letter records what the parties intend. It is not an offer or a binding contract, except for the sections named in section 10.</w:t>
      </w:r>
    </w:p>
    <w:p>
      <w:pPr>
        <w:pStyle w:val="BodyText"/>
      </w:pPr>
      <w:r>
        <w:rPr>
          <w:b/>
          <w:bCs/>
        </w:rPr>
        <w:t xml:space="preserve">Date:</w:t>
      </w:r>
      <w:r>
        <w:t xml:space="preserve"> </w:t>
      </w:r>
      <w:r>
        <w:t xml:space="preserve">[date]</w:t>
      </w:r>
    </w:p>
    <w:p>
      <w:pPr>
        <w:pStyle w:val="BodyText"/>
      </w:pPr>
      <w:r>
        <w:rPr>
          <w:b/>
          <w:bCs/>
        </w:rPr>
        <w:t xml:space="preserve">Between:</w:t>
      </w:r>
      <w:r>
        <w:t xml:space="preserve"> </w:t>
      </w:r>
      <w:r>
        <w:t xml:space="preserve">[7FF legal entity name and state] (</w:t>
      </w:r>
      <w:r>
        <w:t xml:space="preserve">“7FF”</w:t>
      </w:r>
      <w:r>
        <w:t xml:space="preserve">) and [Provider legal entity name and state] (</w:t>
      </w:r>
      <w:r>
        <w:t xml:space="preserve">“Provider”</w:t>
      </w:r>
      <w:r>
        <w:t xml:space="preserve">).</w:t>
      </w:r>
    </w:p>
    <w:bookmarkStart w:id="9" w:name="purpose"/>
    <w:p>
      <w:pPr>
        <w:pStyle w:val="Heading2"/>
      </w:pPr>
      <w:r>
        <w:t xml:space="preserve">1. Purpose</w:t>
      </w:r>
    </w:p>
    <w:p>
      <w:pPr>
        <w:pStyle w:val="FirstParagraph"/>
      </w:pPr>
      <w:r>
        <w:t xml:space="preserve">Provider will run a partner reactivation and relationship program for 7FF, using its AI Funding Affiliate Manager working in GoHighLevel under human approval, as described in Provider’s proposal dated September 23, 2026.</w:t>
      </w:r>
    </w:p>
    <w:bookmarkEnd w:id="9"/>
    <w:bookmarkStart w:id="10" w:name="scope"/>
    <w:p>
      <w:pPr>
        <w:pStyle w:val="Heading2"/>
      </w:pPr>
      <w:r>
        <w:t xml:space="preserve">2. Scope</w:t>
      </w:r>
    </w:p>
    <w:p>
      <w:pPr>
        <w:pStyle w:val="FirstParagraph"/>
      </w:pPr>
      <w:r>
        <w:t xml:space="preserve">The program covers 7FF’s inactive partners, currently about 12,950 of roughly 13,000. It starts with a pilot of 250 partners and grows in waves. Each wave starts only after the one before it meets gates the parties agree before the pilot: an opt-out ceiling, no carrier filtering, 7FF’s review of conversation quality, deals tracked by tier, and AI spend on track.</w:t>
      </w:r>
    </w:p>
    <w:bookmarkEnd w:id="10"/>
    <w:bookmarkStart w:id="11" w:name="usage-costs"/>
    <w:p>
      <w:pPr>
        <w:pStyle w:val="Heading2"/>
      </w:pPr>
      <w:r>
        <w:t xml:space="preserve">3. Usage costs</w:t>
      </w:r>
    </w:p>
    <w:p>
      <w:pPr>
        <w:pStyle w:val="FirstParagraph"/>
      </w:pPr>
      <w:r>
        <w:t xml:space="preserve">7FF pays AI model usage and texting usage at cost, with no markup.</w:t>
      </w:r>
    </w:p>
    <w:p>
      <w:pPr>
        <w:pStyle w:val="Compact"/>
        <w:numPr>
          <w:ilvl w:val="0"/>
          <w:numId w:val="1001"/>
        </w:numPr>
      </w:pPr>
      <w:r>
        <w:t xml:space="preserve">AI usage is capped at $[250] a month. Going over the cap needs 7FF’s written approval; email is enough.</w:t>
      </w:r>
    </w:p>
    <w:p>
      <w:pPr>
        <w:pStyle w:val="Compact"/>
        <w:numPr>
          <w:ilvl w:val="0"/>
          <w:numId w:val="1001"/>
        </w:numPr>
      </w:pPr>
      <w:r>
        <w:t xml:space="preserve">Texting is billed by HighLevel on 7FF’s GoHighLevel sub-account.</w:t>
      </w:r>
    </w:p>
    <w:p>
      <w:pPr>
        <w:pStyle w:val="Compact"/>
        <w:numPr>
          <w:ilvl w:val="0"/>
          <w:numId w:val="1001"/>
        </w:numPr>
      </w:pPr>
      <w:r>
        <w:t xml:space="preserve">Server and cloud-computer costs: [covered by Provider] or [billed at cost, up to $___ a month].</w:t>
      </w:r>
    </w:p>
    <w:bookmarkEnd w:id="11"/>
    <w:bookmarkStart w:id="12" w:name="performance-share"/>
    <w:p>
      <w:pPr>
        <w:pStyle w:val="Heading2"/>
      </w:pPr>
      <w:r>
        <w:t xml:space="preserve">4. Performance share</w:t>
      </w:r>
    </w:p>
    <w:p>
      <w:pPr>
        <w:pStyle w:val="FirstParagraph"/>
      </w:pPr>
      <w:r>
        <w:t xml:space="preserve">For each deal submitted by a Re-engaged Partner, Provider earns a share set by that partner’s tier: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Partner tier</w:t>
            </w:r>
          </w:p>
        </w:tc>
        <w:tc>
          <w:tcPr/>
          <w:p>
            <w:pPr>
              <w:pStyle w:val="Compact"/>
            </w:pPr>
            <w:r>
              <w:t xml:space="preserve">Provider’s share</w:t>
            </w:r>
          </w:p>
        </w:tc>
      </w:tr>
      <w:tr>
        <w:tc>
          <w:tcPr/>
          <w:p>
            <w:pPr>
              <w:pStyle w:val="Compact"/>
            </w:pPr>
            <w:r>
              <w:t xml:space="preserve">CEO</w:t>
            </w:r>
          </w:p>
        </w:tc>
        <w:tc>
          <w:tcPr/>
          <w:p>
            <w:pPr>
              <w:pStyle w:val="Compact"/>
            </w:pPr>
            <w:r>
              <w:t xml:space="preserve">5%</w:t>
            </w:r>
          </w:p>
        </w:tc>
      </w:tr>
      <w:tr>
        <w:tc>
          <w:tcPr/>
          <w:p>
            <w:pPr>
              <w:pStyle w:val="Compact"/>
            </w:pPr>
            <w:r>
              <w:t xml:space="preserve">Executive</w:t>
            </w:r>
          </w:p>
        </w:tc>
        <w:tc>
          <w:tcPr/>
          <w:p>
            <w:pPr>
              <w:pStyle w:val="Compact"/>
            </w:pPr>
            <w:r>
              <w:t xml:space="preserve">10%</w:t>
            </w:r>
          </w:p>
        </w:tc>
      </w:tr>
      <w:tr>
        <w:tc>
          <w:tcPr/>
          <w:p>
            <w:pPr>
              <w:pStyle w:val="Compact"/>
            </w:pPr>
            <w:r>
              <w:t xml:space="preserve">Apprentice</w:t>
            </w:r>
          </w:p>
        </w:tc>
        <w:tc>
          <w:tcPr/>
          <w:p>
            <w:pPr>
              <w:pStyle w:val="Compact"/>
            </w:pPr>
            <w:r>
              <w:t xml:space="preserve">10%</w:t>
            </w:r>
          </w:p>
        </w:tc>
      </w:tr>
      <w:tr>
        <w:tc>
          <w:tcPr/>
          <w:p>
            <w:pPr>
              <w:pStyle w:val="Compact"/>
            </w:pPr>
            <w:r>
              <w:t xml:space="preserve">Free</w:t>
            </w:r>
          </w:p>
        </w:tc>
        <w:tc>
          <w:tcPr/>
          <w:p>
            <w:pPr>
              <w:pStyle w:val="Compact"/>
            </w:pPr>
            <w:r>
              <w:t xml:space="preserve">15%</w:t>
            </w:r>
          </w:p>
        </w:tc>
      </w:tr>
    </w:tbl>
    <w:p>
      <w:pPr>
        <w:pStyle w:val="BodyText"/>
      </w:pPr>
      <w:r>
        <w:t xml:space="preserve">Shares are calculated on [basis, for example 7FF’s revenue on the funded deal].</w:t>
      </w:r>
    </w:p>
    <w:p>
      <w:pPr>
        <w:pStyle w:val="BodyText"/>
      </w:pPr>
      <w:r>
        <w:t xml:space="preserve">A</w:t>
      </w:r>
      <w:r>
        <w:t xml:space="preserve"> </w:t>
      </w:r>
      <w:r>
        <w:rPr>
          <w:b/>
          <w:bCs/>
        </w:rPr>
        <w:t xml:space="preserve">Re-engaged Partner</w:t>
      </w:r>
      <w:r>
        <w:t xml:space="preserve"> </w:t>
      </w:r>
      <w:r>
        <w:t xml:space="preserve">is a partner who was inactive when the program started and who replies to the program’s outreach. A deal counts if it is submitted within [window] of that partner’s first reply. Whether a Re-engaged Partner’s purchase of the Funding Machine counts: [yes, at ___% / no].</w:t>
      </w:r>
    </w:p>
    <w:bookmarkEnd w:id="12"/>
    <w:bookmarkStart w:id="13" w:name="reporting-and-payment"/>
    <w:p>
      <w:pPr>
        <w:pStyle w:val="Heading2"/>
      </w:pPr>
      <w:r>
        <w:t xml:space="preserve">5. Reporting and payment</w:t>
      </w:r>
    </w:p>
    <w:p>
      <w:pPr>
        <w:pStyle w:val="FirstParagraph"/>
      </w:pPr>
      <w:r>
        <w:t xml:space="preserve">Provider sends a weekly scorecard. 7FF provides deal records by partner and tier [monthly]. Provider invoices its share monthly, payable [net ___ days].</w:t>
      </w:r>
    </w:p>
    <w:bookmarkEnd w:id="13"/>
    <w:bookmarkStart w:id="14" w:name="partner-data"/>
    <w:p>
      <w:pPr>
        <w:pStyle w:val="Heading2"/>
      </w:pPr>
      <w:r>
        <w:t xml:space="preserve">6. Partner data</w:t>
      </w:r>
    </w:p>
    <w:p>
      <w:pPr>
        <w:pStyle w:val="FirstParagraph"/>
      </w:pPr>
      <w:r>
        <w:t xml:space="preserve">7FF’s non-disclosure agreement governs all partner data. Provider will:</w:t>
      </w:r>
    </w:p>
    <w:p>
      <w:pPr>
        <w:pStyle w:val="Compact"/>
        <w:numPr>
          <w:ilvl w:val="0"/>
          <w:numId w:val="1002"/>
        </w:numPr>
      </w:pPr>
      <w:r>
        <w:t xml:space="preserve">read partner data from Zoho without writing to it;</w:t>
      </w:r>
    </w:p>
    <w:p>
      <w:pPr>
        <w:pStyle w:val="Compact"/>
        <w:numPr>
          <w:ilvl w:val="0"/>
          <w:numId w:val="1002"/>
        </w:numPr>
      </w:pPr>
      <w:r>
        <w:t xml:space="preserve">use partner data only for this program;</w:t>
      </w:r>
    </w:p>
    <w:p>
      <w:pPr>
        <w:pStyle w:val="Compact"/>
        <w:numPr>
          <w:ilvl w:val="0"/>
          <w:numId w:val="1002"/>
        </w:numPr>
      </w:pPr>
      <w:r>
        <w:t xml:space="preserve">never sell partner data, or share or reuse it outside this program, except with the service providers that run the program (GoHighLevel, the model providers reached through OpenRouter, limited to providers that don’t train on it, and TypeSafe for Jev), only as needed to run it; and</w:t>
      </w:r>
    </w:p>
    <w:p>
      <w:pPr>
        <w:pStyle w:val="Compact"/>
        <w:numPr>
          <w:ilvl w:val="0"/>
          <w:numId w:val="1002"/>
        </w:numPr>
      </w:pPr>
      <w:r>
        <w:t xml:space="preserve">return or delete partner data within [___] days after the program ends.</w:t>
      </w:r>
    </w:p>
    <w:bookmarkEnd w:id="14"/>
    <w:bookmarkStart w:id="15" w:name="messaging-rules"/>
    <w:p>
      <w:pPr>
        <w:pStyle w:val="Heading2"/>
      </w:pPr>
      <w:r>
        <w:t xml:space="preserve">7. Messaging rules</w:t>
      </w:r>
    </w:p>
    <w:p>
      <w:pPr>
        <w:pStyle w:val="FirstParagraph"/>
      </w:pPr>
      <w:r>
        <w:t xml:space="preserve">A person approves every message, or a batch under a standing approval with a daily cap. Texts go only to partners with SMS consent, from a registered number, and every STOP is honored permanently. No approval, rate or income promises. 7FF approves offer copy and anything about program terms.</w:t>
      </w:r>
    </w:p>
    <w:bookmarkEnd w:id="15"/>
    <w:bookmarkStart w:id="16" w:name="case-study"/>
    <w:p>
      <w:pPr>
        <w:pStyle w:val="Heading2"/>
      </w:pPr>
      <w:r>
        <w:t xml:space="preserve">8. Case study</w:t>
      </w:r>
    </w:p>
    <w:p>
      <w:pPr>
        <w:pStyle w:val="FirstParagraph"/>
      </w:pPr>
      <w:r>
        <w:t xml:space="preserve">With 7FF’s approval of the content, Provider may present the program’s results as a case study, including at Funding Machine Live and to one or two further beta partners.</w:t>
      </w:r>
    </w:p>
    <w:bookmarkEnd w:id="16"/>
    <w:bookmarkStart w:id="17" w:name="term"/>
    <w:p>
      <w:pPr>
        <w:pStyle w:val="Heading2"/>
      </w:pPr>
      <w:r>
        <w:t xml:space="preserve">9. Term</w:t>
      </w:r>
    </w:p>
    <w:p>
      <w:pPr>
        <w:pStyle w:val="FirstParagraph"/>
      </w:pPr>
      <w:r>
        <w:t xml:space="preserve">The program runs for [term]. Either party may end it with [___] days’ written notice. Shares on deals submitted before the end date, within the counting window, stay payable. The workflows, fields, tags and pipelines built for 7FF stay with 7FF.</w:t>
      </w:r>
    </w:p>
    <w:bookmarkEnd w:id="17"/>
    <w:bookmarkStart w:id="18" w:name="what-is-binding"/>
    <w:p>
      <w:pPr>
        <w:pStyle w:val="Heading2"/>
      </w:pPr>
      <w:r>
        <w:t xml:space="preserve">10. What is binding</w:t>
      </w:r>
    </w:p>
    <w:p>
      <w:pPr>
        <w:pStyle w:val="FirstParagraph"/>
      </w:pPr>
      <w:r>
        <w:t xml:space="preserve">Only section 6 (Partner data), this section, and [governing law and venue] bind the parties. Everything else records intent until the parties sign a definitive agreement.</w:t>
      </w:r>
    </w:p>
    <w:p>
      <w:pPr>
        <w:pStyle w:val="BodyText"/>
      </w:pPr>
      <w: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7 Figures Funding</w:t>
            </w:r>
          </w:p>
        </w:tc>
        <w:tc>
          <w:tcPr/>
          <w:p>
            <w:pPr>
              <w:pStyle w:val="Compact"/>
            </w:pPr>
            <w:r>
              <w:t xml:space="preserve">Provider</w:t>
            </w:r>
          </w:p>
        </w:tc>
      </w:tr>
      <w:tr>
        <w:tc>
          <w:tcPr/>
          <w:p>
            <w:pPr>
              <w:pStyle w:val="Compact"/>
            </w:pPr>
            <w:r>
              <w:t xml:space="preserve">Name:</w:t>
            </w:r>
          </w:p>
        </w:tc>
        <w:tc>
          <w:tcPr/>
          <w:p>
            <w:pPr>
              <w:pStyle w:val="Compact"/>
            </w:pPr>
            <w:r>
              <w:t xml:space="preserve">Name:</w:t>
            </w:r>
          </w:p>
        </w:tc>
      </w:tr>
      <w:tr>
        <w:tc>
          <w:tcPr/>
          <w:p>
            <w:pPr>
              <w:pStyle w:val="Compact"/>
            </w:pPr>
            <w:r>
              <w:t xml:space="preserve">Title:</w:t>
            </w:r>
          </w:p>
        </w:tc>
        <w:tc>
          <w:tcPr/>
          <w:p>
            <w:pPr>
              <w:pStyle w:val="Compact"/>
            </w:pPr>
            <w:r>
              <w:t xml:space="preserve">Title:</w:t>
            </w:r>
          </w:p>
        </w:tc>
      </w:tr>
      <w:tr>
        <w:tc>
          <w:tcPr/>
          <w:p>
            <w:pPr>
              <w:pStyle w:val="Compact"/>
            </w:pPr>
            <w:r>
              <w:t xml:space="preserve">Signature:</w:t>
            </w:r>
          </w:p>
        </w:tc>
        <w:tc>
          <w:tcPr/>
          <w:p>
            <w:pPr>
              <w:pStyle w:val="Compact"/>
            </w:pPr>
            <w:r>
              <w:t xml:space="preserve">Signature:</w:t>
            </w:r>
          </w:p>
        </w:tc>
      </w:tr>
      <w:tr>
        <w:tc>
          <w:tcPr/>
          <w:p>
            <w:pPr>
              <w:pStyle w:val="Compact"/>
            </w:pPr>
            <w:r>
              <w:t xml:space="preserve">Date:</w:t>
            </w:r>
          </w:p>
        </w:tc>
        <w:tc>
          <w:tcPr/>
          <w:p>
            <w:pPr>
              <w:pStyle w:val="Compact"/>
            </w:pPr>
            <w:r>
              <w:t xml:space="preserve">Date:</w:t>
            </w:r>
          </w:p>
        </w:tc>
      </w:tr>
    </w:tbl>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Intent</dc:title>
  <dc:creator/>
  <cp:keywords/>
  <dcterms:created xsi:type="dcterms:W3CDTF">2026-09-23T23:29:49Z</dcterms:created>
  <dcterms:modified xsi:type="dcterms:W3CDTF">2026-09-23T23:29:49Z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Partner reactivation program for 7 Figures Funding</vt:lpwstr>
  </property>
</Properties>
</file>