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Marlon Mauricio Vega Rodríguez · Gerente de Sistemas de Información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Cada incidente me pide un comunicado interno y el primer borrador sale técnico de más.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Qué pasó, impacto, siguiente paso, y qué no se pega a una IA pública.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 — proyecto final (examen). El viernes 1 solo preparas el caso anónimo.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mesa de ayuda escribiendo para gerentes no técnicos.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Hubo una caída de 18 minutos del correo interno a las 09:10. Causa probable: saturación del servidor de correo (ejemplo). Ya restauró. No te daré IPs, logs ni nombres de servidores reales.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Comunicado interno de 4 párrafos.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Qué ocurrió / impacto / qué hacemos ahora / qué no se debe pegar en un chat público.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Prohibido inventar IPs, contraseñas o marcas de software que yo no mencioné. Tono calmado, sin culpar personas.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