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practica</w:t>
      </w:r>
    </w:p>
    <w:p>
      <w:pPr>
        <w:spacing w:after="120"/>
      </w:pPr>
      <w:r>
        <w:rPr>
          <w:i/>
          <w:color w:val="666666"/>
        </w:rPr>
        <w:t xml:space="preserve">Marlon Mauricio Vega Rodríguez · Gerente de Sistemas de Información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informacion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Cada incidente me pide un comunicado interno y el primer borrador sale técnico de más.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Qué pasó, impacto, siguiente paso, y qué no se pega a una IA pública.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1, privacidad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mesa de ayuda escribiendo para gerentes no técnicos.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Hubo una caída de 18 minutos del correo interno a las 09:10. Causa probable: saturación del servidor de correo (ejemplo). Ya restauró. No te daré IPs, logs ni nombres de servidores reales.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Comunicado interno de 4 párrafos.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Qué ocurrió / impacto / qué hacemos ahora / qué no se debe pegar en un chat público.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Prohibido inventar IPs, contraseñas o marcas de software que yo no mencioné. Tono calmado, sin culpar personas.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