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Reglas del Laboratorio</w:t>
      </w:r>
    </w:p>
    <w:p>
      <w:pPr>
        <w:spacing w:after="120"/>
      </w:pPr>
      <w:r>
        <w:rPr>
          <w:i/>
          <w:color w:val="666666"/>
        </w:rPr>
        <w:t xml:space="preserve">Léelas antes de usar ChatGPT o Claude en el curso. Magnatic.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Lo que SÍ debes hacer</w:t>
      </w:r>
    </w:p>
    <w:p>
      <w:pPr>
        <w:numPr>
          <w:ilvl w:val="0"/>
          <w:numId w:val="1"/>
        </w:numPr>
        <w:spacing w:after="60"/>
      </w:pPr>
      <w:r>
        <w:t xml:space="preserve">Dar contexto suficiente para que la IA entienda tu caso.</w:t>
      </w:r>
    </w:p>
    <w:p>
      <w:pPr>
        <w:numPr>
          <w:ilvl w:val="0"/>
          <w:numId w:val="1"/>
        </w:numPr>
        <w:spacing w:after="60"/>
      </w:pPr>
      <w:r>
        <w:t xml:space="preserve">Iterar: pedir ajustes en lugar de aceptar el primer borrador.</w:t>
      </w:r>
    </w:p>
    <w:p>
      <w:pPr>
        <w:numPr>
          <w:ilvl w:val="0"/>
          <w:numId w:val="1"/>
        </w:numPr>
        <w:spacing w:after="60"/>
      </w:pPr>
      <w:r>
        <w:t xml:space="preserve">Verificar cifras, fechas, citas y obligaciones legales con una fuente confiable.</w:t>
      </w:r>
    </w:p>
    <w:p>
      <w:pPr>
        <w:numPr>
          <w:ilvl w:val="0"/>
          <w:numId w:val="1"/>
        </w:numPr>
        <w:spacing w:after="60"/>
      </w:pPr>
      <w:r>
        <w:t xml:space="preserve">Anonimizar: usar casos equivalentes sin datos reales de personas o clientes.</w:t>
      </w:r>
    </w:p>
    <w:p>
      <w:pPr>
        <w:numPr>
          <w:ilvl w:val="0"/>
          <w:numId w:val="1"/>
        </w:numPr>
        <w:spacing w:after="60"/>
      </w:pPr>
      <w:r>
        <w:t xml:space="preserve">Revisar el resultado antes de enviarlo o usarlo en el trabajo.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Lo que NUNCA debes pegar en la IA</w:t>
      </w:r>
    </w:p>
    <w:p>
      <w:pPr>
        <w:numPr>
          <w:ilvl w:val="0"/>
          <w:numId w:val="1"/>
        </w:numPr>
        <w:spacing w:after="60"/>
      </w:pPr>
      <w:r>
        <w:t xml:space="preserve">Nombres, cuentas o datos personales identificables de clientes o compañeros.</w:t>
      </w:r>
    </w:p>
    <w:p>
      <w:pPr>
        <w:numPr>
          <w:ilvl w:val="0"/>
          <w:numId w:val="1"/>
        </w:numPr>
        <w:spacing w:after="60"/>
      </w:pPr>
      <w:r>
        <w:t xml:space="preserve">Contraseñas, tokens o credenciales.</w:t>
      </w:r>
    </w:p>
    <w:p>
      <w:pPr>
        <w:numPr>
          <w:ilvl w:val="0"/>
          <w:numId w:val="1"/>
        </w:numPr>
        <w:spacing w:after="60"/>
      </w:pPr>
      <w:r>
        <w:t xml:space="preserve">Contratos, nóminas o documentos confidenciales de la empresa.</w:t>
      </w:r>
    </w:p>
    <w:p>
      <w:pPr>
        <w:numPr>
          <w:ilvl w:val="0"/>
          <w:numId w:val="1"/>
        </w:numPr>
        <w:spacing w:after="60"/>
      </w:pPr>
      <w:r>
        <w:t xml:space="preserve">Cualquier cosa que te molestaría ver fuera de la empresa.</w:t>
      </w:r>
    </w:p>
    <w:p>
      <w:pPr>
        <w:spacing w:after="120" w:before="120"/>
      </w:pPr>
      <w:r>
        <w:rPr>
          <w:b/>
          <w:color w:val="610A8B"/>
          <w:sz w:val="30"/>
          <w:szCs w:val="30"/>
        </w:rPr>
        <w:t xml:space="preserve">Recuerda</w:t>
      </w:r>
    </w:p>
    <w:p>
      <w:pPr>
        <w:spacing w:after="120"/>
      </w:pPr>
      <w:r>
        <w:rPr>
          <w:b/>
        </w:rPr>
        <w:t xml:space="preserve">El estilo seguro no garantiza datos correctos. </w:t>
      </w:r>
      <w:r>
        <w:t xml:space="preserve">Una respuesta puede sonar profesional y estar equivocada (alucinación). La persona responsable final eres tú.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</w:rPr>
        <w:t xml:space="preserve">Regla de oro: </w:t>
      </w:r>
      <w:r>
        <w:t xml:space="preserve">La IA propone. Tú decides y verificas.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