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R, and the threshold τ.</w:t>
      </w:r>
    </w:p>
    <w:p>
      <w:pPr>
        <w:pStyle w:val="ListParagraph"/>
        <w:numPr>
          <w:ilvl w:val="0"/>
          <w:numId w:val="3"/>
        </w:numPr>
      </w:pPr>
      <w:r>
        <w:rPr>
          <w:i/>
          <w:iCs/>
          <w:color w:val="1F4E79"/>
        </w:rPr>
        <w:t xml:space="preserve">Lines 2 and 3 are preprocessing: MTCNN detection and alignment, then resizing to 380 by 380 and normalization. The reference image goes through the same steps.</w:t>
      </w:r>
    </w:p>
    <w:p>
      <w:pPr>
        <w:pStyle w:val="ListParagraph"/>
        <w:numPr>
          <w:ilvl w:val="0"/>
          <w:numId w:val="3"/>
        </w:numPr>
      </w:pPr>
      <w:r>
        <w:rPr>
          <w:i/>
          <w:iCs/>
          <w:color w:val="1F4E79"/>
        </w:rPr>
        <w:t xml:space="preserve">Lines 4 and 5 run the two branches: EfficientNet-B4 gives F1, the Vision Transformer gives F2.</w:t>
      </w:r>
    </w:p>
    <w:p>
      <w:pPr>
        <w:pStyle w:val="ListParagraph"/>
        <w:numPr>
          <w:ilvl w:val="0"/>
          <w:numId w:val="3"/>
        </w:numPr>
      </w:pPr>
      <w:r>
        <w:rPr>
          <w:i/>
          <w:iCs/>
          <w:color w:val="1F4E79"/>
        </w:rPr>
        <w:t xml:space="preserve">Line 6 fuses them into one embedding.</w:t>
      </w:r>
    </w:p>
    <w:p>
      <w:pPr>
        <w:pStyle w:val="ListParagraph"/>
        <w:numPr>
          <w:ilvl w:val="0"/>
          <w:numId w:val="3"/>
        </w:numPr>
      </w:pPr>
      <w:r>
        <w:rPr>
          <w:i/>
          <w:iCs/>
          <w:color w:val="1F4E79"/>
        </w:rPr>
        <w:t xml:space="preserve">Lines 7 to 9 compute the three metrics. Cosine similarity measures the angle between the two embeddings. Euclidean distance measures how far apart they are, and we convert it to a similarity, 1 minus d over 2, so that higher always means more similar. SSIM measures the structural similarity of the two aligned face images.</w:t>
      </w:r>
    </w:p>
    <w:p>
      <w:pPr>
        <w:pStyle w:val="ListParagraph"/>
        <w:numPr>
          <w:ilvl w:val="0"/>
          <w:numId w:val="3"/>
        </w:numPr>
      </w:pPr>
      <w:r>
        <w:rPr>
          <w:i/>
          <w:iCs/>
          <w:color w:val="1F4E79"/>
        </w:rPr>
        <w:t xml:space="preserve">Line 10 combines them into one aggregated score S, a weighted sum with equal weights of one-third by default.</w:t>
      </w:r>
    </w:p>
    <w:p>
      <w:pPr>
        <w:pStyle w:val="ListParagraph"/>
        <w:numPr>
          <w:ilvl w:val="0"/>
          <w:numId w:val="3"/>
        </w:numPr>
      </w:pPr>
      <w:r>
        <w:rPr>
          <w:i/>
          <w:iCs/>
          <w:color w:val="1F4E79"/>
        </w:rPr>
        <w:t xml:space="preserve">Lines 11 to 15 apply the threshold: if S is at least τ, 0.70 by default, the preliminary classification is Real; otherwise, Deepfake. The system also computes a confidence score based on how far S is from τ.</w:t>
      </w:r>
    </w:p>
    <w:p>
      <w:pPr>
        <w:pStyle w:val="ListParagraph"/>
        <w:numPr>
          <w:ilvl w:val="0"/>
          <w:numId w:val="3"/>
        </w:numPr>
      </w:pPr>
      <w:r>
        <w:rPr>
          <w:i/>
          <w:iCs/>
          <w:color w:val="1F4E79"/>
        </w:rPr>
        <w:t xml:space="preserve">Line 16 is the human-in-the-loop review: the analyst gives the final decision D and the rationale.</w:t>
      </w:r>
    </w:p>
    <w:p>
      <w:pPr>
        <w:pStyle w:val="ListParagraph"/>
        <w:numPr>
          <w:ilvl w:val="0"/>
          <w:numId w:val="3"/>
        </w:numPr>
      </w:pPr>
      <w:r>
        <w:rPr>
          <w:i/>
          <w:iCs/>
          <w:color w:val="1F4E79"/>
        </w:rPr>
        <w:t xml:space="preserve">Line 17 generates the forensic report, and line 18 returns the decision, the score, and the report.</w:t>
      </w:r>
    </w:p>
    <w:p>
      <w:r>
        <w:rPr>
          <w:i/>
          <w:iCs/>
          <w:color w:val="1F4E79"/>
        </w:rPr>
        <w:t xml:space="preserve">Lines 2 to 15 run automatically when a case is submitted. Lines 16 and 17 happen only when the analyst acts. The AI's classification C is never the final answer; the analyst's decision D is.</w:t>
      </w:r>
    </w:p>
    <w:p>
      <w:pPr>
        <w:shd w:fill="FFF2CC" w:color="auto" w:val="clear"/>
        <w:spacing w:after="200"/>
        <w:ind w:left="240" w:right="240"/>
      </w:pPr>
      <w:r>
        <w:rPr>
          <w:b/>
          <w:bCs/>
        </w:rPr>
        <w:t xml:space="preserve">Fix Slide 12 before the defense</w:t>
      </w:r>
      <w:r>
        <w:t xml:space="preserve"> so it matches this narration (line 9 SSIM, line 8 conversion). See Slide fixes.</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logs in as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We are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15: face detection, both neural branches, fusion, the three metrics, and the preliminary classification.</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logs in as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the three similarity metrics, and the aggregated score S against τ.</w:t>
      </w:r>
      <w:r>
        <w:rPr>
          <w:i/>
          <w:iCs/>
          <w:color w:val="1F4E79"/>
        </w:rPr>
        <w:t xml:space="preserve"> </w:t>
      </w:r>
      <w:r>
        <w:rPr>
          <w:i/>
          <w:iCs/>
          <w:color w:val="1F4E79"/>
        </w:rPr>
        <w:t xml:space="preserve">(Read the actual values on screen.)</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chooses:</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…and submits.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16 of our algorithm.</w:t>
      </w:r>
    </w:p>
    <w:p>
      <w:pPr>
        <w:pStyle w:val="Heading2"/>
      </w:pPr>
      <w:r>
        <w:t xml:space="preserve">D6 · Forensic report (52:30–54:00)</w:t>
      </w:r>
    </w:p>
    <w:p>
      <w:r>
        <w:rPr>
          <w:b/>
          <w:bCs/>
          <w:color w:val="1F3864"/>
        </w:rPr>
        <w:t xml:space="preserve">Alexander: </w:t>
      </w:r>
      <w:r>
        <w:rPr>
          <w:i/>
          <w:iCs/>
          <w:color w:val="1F4E79"/>
        </w:rPr>
        <w:t xml:space="preserve">This is line 17,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in as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
        <w:gridCol w:w="2481"/>
        <w:gridCol w:w="3339"/>
        <w:gridCol w:w="3341"/>
      </w:tblGrid>
      <w:tr>
        <w:trPr>
          <w:tblHeader/>
        </w:trPr>
        <w:tc>
          <w:tcPr>
            <w:tcW w:type="dxa" w:w="47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4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3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3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9</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is a 2-D image measure and cannot be computed on an embedding vector. The system computes it on the aligned face crops.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Calculate_SSIM_Index(I_aligned, R_aligned)  // structural similarity of aligned face crops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8</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Compute_Euclidean_Distance(F_fused,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t>
            </w:r>
            <w:r>
              <w:rPr>
                <w:i/>
                <w:iCs/>
                <w:color w:val="1F4E79"/>
                <w:sz w:val="19"/>
                <w:szCs w:val="19"/>
              </w:rPr>
              <w:t xml:space="preserve">distance</w:t>
            </w:r>
            <w:r>
              <w:rPr>
                <w:sz w:val="19"/>
                <w:szCs w:val="19"/>
              </w:rPr>
              <w:t xml:space="preserve"> grows as images differ, so adding it to S would push fakes toward "Real". The system converts it.</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1 − EuclideanDistance(F_fused, R_fused) / 2  // distance converted to similarity</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header</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Reference Tensor (R), Forensic Threshold (T)</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procedure uses τ, not T; R is the reference </w:t>
            </w:r>
            <w:r>
              <w:rPr>
                <w:i/>
                <w:iCs/>
                <w:color w:val="1F4E79"/>
                <w:sz w:val="19"/>
                <w:szCs w:val="19"/>
              </w:rPr>
              <w:t xml:space="preserve">image</w:t>
            </w:r>
            <w:r>
              <w:rPr>
                <w:sz w:val="19"/>
                <w:szCs w:val="19"/>
              </w:rPr>
              <w:t xml:space="preserve">, processed by the same lines 2–6.</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 Input: Suspect Image (I), Reference Image (R), Threshold (τ)</w:t>
            </w:r>
            <w:r>
              <w:rPr>
                <w:sz w:val="19"/>
                <w:szCs w:val="19"/>
              </w:rPr>
              <w:t xml:space="preserve"> and add a note: </w:t>
            </w:r>
            <w:r>
              <w:rPr>
                <w:i/>
                <w:iCs/>
                <w:color w:val="1F4E79"/>
                <w:sz w:val="19"/>
                <w:szCs w:val="19"/>
              </w:rPr>
              <w:t xml:space="preserve">lines 2–6 are also applied to R</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6</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Concatenate_Vectors(F_1, F_2)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also projects to 512 values (Linear → LayerNorm) and L2-normalizes.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w:t>
            </w:r>
            <w:r>
              <w:rPr>
                <w:rFonts w:ascii="Consolas" w:cs="Consolas" w:eastAsia="Consolas" w:hAnsi="Consolas"/>
                <w:sz w:val="19"/>
                <w:szCs w:val="19"/>
              </w:rPr>
              <w:t xml:space="preserve">F_fused ← L2Norm(Project(Concatenate(F_1, F_2)))</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confidence score is also computed next to lines 11–15. You can add it as a line or just mention it verbally, as in the script.</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95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flask --app app run</w:t>
      </w:r>
      <w:r>
        <w:t xml:space="preserve"> → Chrome at http://127.0.0.1:5000.</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9…"</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through a secure purge command that overwrites the files and logs the deletion.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95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2026-09-30T01:04:07.809Z</dcterms:created>
  <dcterms:modified xsi:type="dcterms:W3CDTF">2026-09-30T01:04:07.809Z</dcterms:modified>
</cp:coreProperties>
</file>

<file path=docProps/custom.xml><?xml version="1.0" encoding="utf-8"?>
<Properties xmlns="http://schemas.openxmlformats.org/officeDocument/2006/custom-properties" xmlns:vt="http://schemas.openxmlformats.org/officeDocument/2006/docPropsVTypes"/>
</file>