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89115"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Workplace Safety &amp; Environmental Compliance Policy</w:t>
      </w:r>
    </w:p>
    <w:p w14:paraId="5AE28295" w14:textId="2B04D6E2"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 xml:space="preserve">Organization: </w:t>
      </w:r>
      <w:r>
        <w:rPr>
          <w:rFonts w:ascii="Times New Roman" w:hAnsi="Times New Roman" w:cs="Times New Roman"/>
          <w:b/>
          <w:bCs/>
        </w:rPr>
        <w:t>The Xander Protocol</w:t>
      </w:r>
    </w:p>
    <w:p w14:paraId="3EB8718F"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Policy Owner: Chief Compliance &amp; Safety Officer (CCSO)</w:t>
      </w:r>
    </w:p>
    <w:p w14:paraId="44E961AD" w14:textId="6C0F3C60"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 xml:space="preserve">Approval Date: </w:t>
      </w:r>
      <w:r>
        <w:rPr>
          <w:rFonts w:ascii="Times New Roman" w:hAnsi="Times New Roman" w:cs="Times New Roman"/>
          <w:b/>
          <w:bCs/>
        </w:rPr>
        <w:t>10/22/2025</w:t>
      </w:r>
    </w:p>
    <w:p w14:paraId="485504CF"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Version: 1.0</w:t>
      </w:r>
    </w:p>
    <w:p w14:paraId="00A666AC"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Review Cycle: Annual</w:t>
      </w:r>
    </w:p>
    <w:p w14:paraId="0ABD966D"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Classification: Internal / Confidential</w:t>
      </w:r>
    </w:p>
    <w:p w14:paraId="26408115"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Table of Contents</w:t>
      </w:r>
    </w:p>
    <w:p w14:paraId="13A4CB6D"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rPr>
        <w:tab/>
      </w:r>
      <w:r w:rsidRPr="00F33E3B">
        <w:rPr>
          <w:rFonts w:ascii="Times New Roman" w:hAnsi="Times New Roman" w:cs="Times New Roman"/>
          <w:b/>
          <w:bCs/>
        </w:rPr>
        <w:t>1.</w:t>
      </w:r>
      <w:r w:rsidRPr="00F33E3B">
        <w:rPr>
          <w:rFonts w:ascii="Times New Roman" w:hAnsi="Times New Roman" w:cs="Times New Roman"/>
          <w:b/>
          <w:bCs/>
        </w:rPr>
        <w:tab/>
        <w:t>Executive Summary</w:t>
      </w:r>
    </w:p>
    <w:p w14:paraId="341CC6B0"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2.</w:t>
      </w:r>
      <w:r w:rsidRPr="00F33E3B">
        <w:rPr>
          <w:rFonts w:ascii="Times New Roman" w:hAnsi="Times New Roman" w:cs="Times New Roman"/>
          <w:b/>
          <w:bCs/>
        </w:rPr>
        <w:tab/>
        <w:t>Purpose</w:t>
      </w:r>
    </w:p>
    <w:p w14:paraId="4EFF24F7"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3.</w:t>
      </w:r>
      <w:r w:rsidRPr="00F33E3B">
        <w:rPr>
          <w:rFonts w:ascii="Times New Roman" w:hAnsi="Times New Roman" w:cs="Times New Roman"/>
          <w:b/>
          <w:bCs/>
        </w:rPr>
        <w:tab/>
        <w:t>Scope</w:t>
      </w:r>
    </w:p>
    <w:p w14:paraId="2D3A03D1"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4.</w:t>
      </w:r>
      <w:r w:rsidRPr="00F33E3B">
        <w:rPr>
          <w:rFonts w:ascii="Times New Roman" w:hAnsi="Times New Roman" w:cs="Times New Roman"/>
          <w:b/>
          <w:bCs/>
        </w:rPr>
        <w:tab/>
        <w:t>Regulatory &amp; Framework Alignment</w:t>
      </w:r>
    </w:p>
    <w:p w14:paraId="25B13042"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5.</w:t>
      </w:r>
      <w:r w:rsidRPr="00F33E3B">
        <w:rPr>
          <w:rFonts w:ascii="Times New Roman" w:hAnsi="Times New Roman" w:cs="Times New Roman"/>
          <w:b/>
          <w:bCs/>
        </w:rPr>
        <w:tab/>
        <w:t>Key Definitions</w:t>
      </w:r>
    </w:p>
    <w:p w14:paraId="19952AD2"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6.</w:t>
      </w:r>
      <w:r w:rsidRPr="00F33E3B">
        <w:rPr>
          <w:rFonts w:ascii="Times New Roman" w:hAnsi="Times New Roman" w:cs="Times New Roman"/>
          <w:b/>
          <w:bCs/>
        </w:rPr>
        <w:tab/>
        <w:t>Governance and Accountability</w:t>
      </w:r>
    </w:p>
    <w:p w14:paraId="0A9881C6"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7.</w:t>
      </w:r>
      <w:r w:rsidRPr="00F33E3B">
        <w:rPr>
          <w:rFonts w:ascii="Times New Roman" w:hAnsi="Times New Roman" w:cs="Times New Roman"/>
          <w:b/>
          <w:bCs/>
        </w:rPr>
        <w:tab/>
        <w:t>Safety and Environmental Standards</w:t>
      </w:r>
    </w:p>
    <w:p w14:paraId="17B74759"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8.</w:t>
      </w:r>
      <w:r w:rsidRPr="00F33E3B">
        <w:rPr>
          <w:rFonts w:ascii="Times New Roman" w:hAnsi="Times New Roman" w:cs="Times New Roman"/>
          <w:b/>
          <w:bCs/>
        </w:rPr>
        <w:tab/>
        <w:t>Training and Awareness</w:t>
      </w:r>
    </w:p>
    <w:p w14:paraId="6D38E092"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9.</w:t>
      </w:r>
      <w:r w:rsidRPr="00F33E3B">
        <w:rPr>
          <w:rFonts w:ascii="Times New Roman" w:hAnsi="Times New Roman" w:cs="Times New Roman"/>
          <w:b/>
          <w:bCs/>
        </w:rPr>
        <w:tab/>
        <w:t>Incident Management and Escalation</w:t>
      </w:r>
    </w:p>
    <w:p w14:paraId="3A0C2691"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10.</w:t>
      </w:r>
      <w:r w:rsidRPr="00F33E3B">
        <w:rPr>
          <w:rFonts w:ascii="Times New Roman" w:hAnsi="Times New Roman" w:cs="Times New Roman"/>
          <w:b/>
          <w:bCs/>
        </w:rPr>
        <w:tab/>
        <w:t>Monitoring, Audits, and KPIs</w:t>
      </w:r>
    </w:p>
    <w:p w14:paraId="7F30674F"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11.</w:t>
      </w:r>
      <w:r w:rsidRPr="00F33E3B">
        <w:rPr>
          <w:rFonts w:ascii="Times New Roman" w:hAnsi="Times New Roman" w:cs="Times New Roman"/>
          <w:b/>
          <w:bCs/>
        </w:rPr>
        <w:tab/>
        <w:t>Continuous Improvement and Policy Review</w:t>
      </w:r>
    </w:p>
    <w:p w14:paraId="7EF82B58"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ab/>
        <w:t>12.</w:t>
      </w:r>
      <w:r w:rsidRPr="00F33E3B">
        <w:rPr>
          <w:rFonts w:ascii="Times New Roman" w:hAnsi="Times New Roman" w:cs="Times New Roman"/>
          <w:b/>
          <w:bCs/>
        </w:rPr>
        <w:tab/>
        <w:t>Enforcement</w:t>
      </w:r>
    </w:p>
    <w:p w14:paraId="11A3D3AB"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1. Executive Summary</w:t>
      </w:r>
    </w:p>
    <w:p w14:paraId="54FC14F8"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This policy establishes a comprehensive framework for workplace safety and environmental compliance, ensuring that all employees, contractors, temporary staff, vendors, and third parties operate in a safe and compliant environment. By integrating regulatory requirements, emergency preparedness, health protocols, and continuous monitoring, the organization aims to foster a culture of safety and accountability while minimizing operational and environmental risks. Training, audits, and incident reporting form the foundation of a proactive and resilient safety culture.</w:t>
      </w:r>
    </w:p>
    <w:p w14:paraId="65BD63BB"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2. Purpose</w:t>
      </w:r>
    </w:p>
    <w:p w14:paraId="2DA7DD85"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lastRenderedPageBreak/>
        <w:t>The purpose of this policy is to provide clear guidance on maintaining workplace safety, environmental compliance, and health-related protocols. It promotes proactive identification of hazards, structured mitigation of risks, and continuous improvement in safety practices. This policy ensures regulatory alignment while cultivating a safety-conscious organizational culture where every individual understands their responsibility.</w:t>
      </w:r>
    </w:p>
    <w:p w14:paraId="1BE9EFF7"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3. Scope</w:t>
      </w:r>
    </w:p>
    <w:p w14:paraId="78A7967E"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This policy applies to all employees, contractors, temporary staff, vendors, and third-party service providers. It covers all operational areas, facilities, and processes under the organization’s control. Safety and environmental standards include workplace hazards, emergency preparedness (including fire safety), health-related protocols such as COVID-19 compliance, and adherence to applicable regulatory requirements.</w:t>
      </w:r>
    </w:p>
    <w:p w14:paraId="50454FB7"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4. Regulatory &amp; Framework Alignment</w:t>
      </w:r>
    </w:p>
    <w:p w14:paraId="0E1007B6"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This policy aligns with applicable workplace safety and environmental regulations, including OSHA standards, EPA regulations, and local regulatory laws. Compliance ensures the organization meets legal obligations while implementing proactive internal safety standards.</w:t>
      </w:r>
    </w:p>
    <w:p w14:paraId="180477A2"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5. Key Definitions</w:t>
      </w:r>
    </w:p>
    <w:p w14:paraId="7E6E4343"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Workplace safety encompasses physical, environmental, and health-related measures designed to prevent accidents and injuries. Environmental compliance refers to adherence to laws and internal policies governing emissions, resource use, and overall environmental impact. Incidents are defined as any safety or environmental event that exposes personnel, facilities, or the environment to risk. Accountability includes clearly assigned roles and responsibilities for managing, reporting, and mitigating these risks.</w:t>
      </w:r>
    </w:p>
    <w:p w14:paraId="67175121"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6. Governance and Accountability</w:t>
      </w:r>
    </w:p>
    <w:p w14:paraId="04905F7F"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Safety and environmental compliance are the responsibility of all personnel and partners. A formal accountability structure includes managers, safety officers, and the compliance team to oversee adherence to protocols. Employees are empowered and expected to report hazards, incidents, or unsafe practices immediately. Leadership is responsible for fostering a culture of safety while ensuring compliance with corporate and regulatory standards.</w:t>
      </w:r>
    </w:p>
    <w:p w14:paraId="31AC2BF5"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7. Safety and Environmental Standards</w:t>
      </w:r>
    </w:p>
    <w:p w14:paraId="351F1EE9"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The organization implements comprehensive safety standards covering workplace hazards, emergency preparedness, and health protocols. Environmental compliance focuses on regulatory adherence, monitoring of facilities, and controlled management of potential risks. Employees and partners must follow established SOPs, safety guidelines, and emergency procedures. Health protocols include pandemic-related safety measures to protect all personnel. Regular inspections ensure that facilities, equipment, and processes meet internal and regulatory standards.</w:t>
      </w:r>
    </w:p>
    <w:p w14:paraId="05F1A05F"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lastRenderedPageBreak/>
        <w:t>8. Training and Awareness</w:t>
      </w:r>
    </w:p>
    <w:p w14:paraId="21A21A2E"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All personnel, including employees, contractors, and vendors, must undergo mandatory safety and environmental compliance training annually. Training is designed to be practical, scenario-based, and role-specific where needed. Drills and exercises, including fire and emergency preparedness, reinforce awareness and readiness. Training ensures that every individual understands their responsibilities, reporting obligations, and proper response procedures.</w:t>
      </w:r>
    </w:p>
    <w:p w14:paraId="62D31CFE"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9. Incident Management and Escalation</w:t>
      </w:r>
    </w:p>
    <w:p w14:paraId="580C24A6"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All incidents, near-misses, or observed hazards must be reported immediately to the designated supervisor, manager, or safety officer. Escalation follows a clear hierarchy based on severity, typically including direct reporting to supervisors, followed by safety officers and the compliance team. Root cause analyses are conducted for each incident, and corrective actions are implemented to prevent recurrence. Lessons learned are incorporated into continuous improvement efforts to strengthen organizational safety culture.</w:t>
      </w:r>
    </w:p>
    <w:p w14:paraId="64E6CF1E"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10. Monitoring, Audits, and KPIs</w:t>
      </w:r>
    </w:p>
    <w:p w14:paraId="05A49170"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Continuous monitoring of workplace conditions and environmental compliance is conducted through inspections, audits, and automated systems where applicable. Key performance indicators (KPIs) and dashboards track safety incidents, compliance metrics, and mitigation effectiveness. Audit findings are used to refine safety procedures, update training, and ensure ongoing regulatory compliance.</w:t>
      </w:r>
    </w:p>
    <w:p w14:paraId="156C1982"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11. Continuous Improvement and Policy Review</w:t>
      </w:r>
    </w:p>
    <w:p w14:paraId="6F1B3CF5"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The policy is reviewed annually or after significant incidents or regulatory changes. Feedback from personnel, audits, and incident analyses informs improvements to safety standards, environmental controls, and training programs. Continuous improvement ensures the organization adapts to evolving risks and maintains a proactive approach to workplace safety and environmental compliance.</w:t>
      </w:r>
    </w:p>
    <w:p w14:paraId="02FE6DB5" w14:textId="77777777" w:rsidR="00F33E3B" w:rsidRPr="00F33E3B" w:rsidRDefault="00F33E3B" w:rsidP="00F33E3B">
      <w:pPr>
        <w:rPr>
          <w:rFonts w:ascii="Times New Roman" w:hAnsi="Times New Roman" w:cs="Times New Roman"/>
          <w:b/>
          <w:bCs/>
        </w:rPr>
      </w:pPr>
      <w:r w:rsidRPr="00F33E3B">
        <w:rPr>
          <w:rFonts w:ascii="Times New Roman" w:hAnsi="Times New Roman" w:cs="Times New Roman"/>
          <w:b/>
          <w:bCs/>
        </w:rPr>
        <w:t>12. Enforcement</w:t>
      </w:r>
    </w:p>
    <w:p w14:paraId="75C35F0A" w14:textId="77777777" w:rsidR="00F33E3B" w:rsidRPr="00F33E3B" w:rsidRDefault="00F33E3B" w:rsidP="00F33E3B">
      <w:pPr>
        <w:rPr>
          <w:rFonts w:ascii="Times New Roman" w:hAnsi="Times New Roman" w:cs="Times New Roman"/>
        </w:rPr>
      </w:pPr>
      <w:r w:rsidRPr="00F33E3B">
        <w:rPr>
          <w:rFonts w:ascii="Times New Roman" w:hAnsi="Times New Roman" w:cs="Times New Roman"/>
        </w:rPr>
        <w:t>Non-compliance with safety and environmental protocols may result in corrective actions, including retraining, restricted access, or disciplinary measures when necessary. Enforcement balances accountability with fostering a culture of safety, emphasizing proactive risk reporting and adherence to protocols. Managers, safety officers, and the compliance team are responsible for overseeing enforcement and ensuring that all incidents and corrective actions are documented and reviewed.</w:t>
      </w:r>
    </w:p>
    <w:p w14:paraId="74FFA96C" w14:textId="77777777" w:rsidR="00F33E3B" w:rsidRDefault="00F33E3B"/>
    <w:sectPr w:rsidR="00F3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B"/>
    <w:rsid w:val="00B0549A"/>
    <w:rsid w:val="00F3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D13E"/>
  <w15:chartTrackingRefBased/>
  <w15:docId w15:val="{C4F7905E-9407-443F-90FE-627F8221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E3B"/>
    <w:rPr>
      <w:rFonts w:eastAsiaTheme="majorEastAsia" w:cstheme="majorBidi"/>
      <w:color w:val="272727" w:themeColor="text1" w:themeTint="D8"/>
    </w:rPr>
  </w:style>
  <w:style w:type="paragraph" w:styleId="Title">
    <w:name w:val="Title"/>
    <w:basedOn w:val="Normal"/>
    <w:next w:val="Normal"/>
    <w:link w:val="TitleChar"/>
    <w:uiPriority w:val="10"/>
    <w:qFormat/>
    <w:rsid w:val="00F3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E3B"/>
    <w:pPr>
      <w:spacing w:before="160"/>
      <w:jc w:val="center"/>
    </w:pPr>
    <w:rPr>
      <w:i/>
      <w:iCs/>
      <w:color w:val="404040" w:themeColor="text1" w:themeTint="BF"/>
    </w:rPr>
  </w:style>
  <w:style w:type="character" w:customStyle="1" w:styleId="QuoteChar">
    <w:name w:val="Quote Char"/>
    <w:basedOn w:val="DefaultParagraphFont"/>
    <w:link w:val="Quote"/>
    <w:uiPriority w:val="29"/>
    <w:rsid w:val="00F33E3B"/>
    <w:rPr>
      <w:i/>
      <w:iCs/>
      <w:color w:val="404040" w:themeColor="text1" w:themeTint="BF"/>
    </w:rPr>
  </w:style>
  <w:style w:type="paragraph" w:styleId="ListParagraph">
    <w:name w:val="List Paragraph"/>
    <w:basedOn w:val="Normal"/>
    <w:uiPriority w:val="34"/>
    <w:qFormat/>
    <w:rsid w:val="00F33E3B"/>
    <w:pPr>
      <w:ind w:left="720"/>
      <w:contextualSpacing/>
    </w:pPr>
  </w:style>
  <w:style w:type="character" w:styleId="IntenseEmphasis">
    <w:name w:val="Intense Emphasis"/>
    <w:basedOn w:val="DefaultParagraphFont"/>
    <w:uiPriority w:val="21"/>
    <w:qFormat/>
    <w:rsid w:val="00F33E3B"/>
    <w:rPr>
      <w:i/>
      <w:iCs/>
      <w:color w:val="0F4761" w:themeColor="accent1" w:themeShade="BF"/>
    </w:rPr>
  </w:style>
  <w:style w:type="paragraph" w:styleId="IntenseQuote">
    <w:name w:val="Intense Quote"/>
    <w:basedOn w:val="Normal"/>
    <w:next w:val="Normal"/>
    <w:link w:val="IntenseQuoteChar"/>
    <w:uiPriority w:val="30"/>
    <w:qFormat/>
    <w:rsid w:val="00F3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E3B"/>
    <w:rPr>
      <w:i/>
      <w:iCs/>
      <w:color w:val="0F4761" w:themeColor="accent1" w:themeShade="BF"/>
    </w:rPr>
  </w:style>
  <w:style w:type="character" w:styleId="IntenseReference">
    <w:name w:val="Intense Reference"/>
    <w:basedOn w:val="DefaultParagraphFont"/>
    <w:uiPriority w:val="32"/>
    <w:qFormat/>
    <w:rsid w:val="00F33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Keitavius Alexander</dc:creator>
  <cp:keywords/>
  <dc:description/>
  <cp:lastModifiedBy>Keitavius Alexander</cp:lastModifiedBy>
  <cp:revision>1</cp:revision>
  <dcterms:created xsi:type="dcterms:W3CDTF">2025-10-22T13:45:00Z</dcterms:created>
  <dcterms:modified xsi:type="dcterms:W3CDTF">2025-10-22T13:54:00Z</dcterms:modified>
</cp:coreProperties>
</file>