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E3A5F"/>
          <w:sz w:val="56"/>
          <w:szCs w:val="56"/>
        </w:rPr>
        <w:t xml:space="preserve">Corey McCarty</w:t>
      </w:r>
    </w:p>
    <w:p>
      <w:pPr>
        <w:spacing w:after="60" w:before="0"/>
        <w:jc w:val="center"/>
      </w:pPr>
      <w:r>
        <w:rPr>
          <w:rFonts w:ascii="Arial" w:cs="Arial" w:eastAsia="Arial" w:hAnsi="Arial"/>
          <w:i/>
          <w:iCs/>
          <w:color w:val="666666"/>
          <w:sz w:val="22"/>
          <w:szCs w:val="22"/>
        </w:rPr>
        <w:t xml:space="preserve">Lead Developer  ·  Staff Engineer Scope  ·  Engineering Team Lead</w:t>
      </w:r>
    </w:p>
    <w:p>
      <w:pPr>
        <w:spacing w:after="220" w:before="0"/>
        <w:jc w:val="center"/>
      </w:pPr>
      <w:r>
        <w:rPr>
          <w:rFonts w:ascii="Arial" w:cs="Arial" w:eastAsia="Arial" w:hAnsi="Arial"/>
          <w:color w:val="666666"/>
          <w:sz w:val="20"/>
          <w:szCs w:val="20"/>
        </w:rPr>
        <w:t xml:space="preserve">(901) 832-7968</w:t>
      </w:r>
      <w:r>
        <w:rPr>
          <w:rFonts w:ascii="Arial" w:cs="Arial" w:eastAsia="Arial" w:hAnsi="Arial"/>
          <w:color w:val="999999"/>
          <w:sz w:val="20"/>
          <w:szCs w:val="20"/>
        </w:rPr>
        <w:t xml:space="preserve">   ·   </w:t>
      </w:r>
      <w:hyperlink w:history="1" r:id="rIdc96vml2spfx100ldzsiuh">
        <w:r>
          <w:rPr>
            <w:rFonts w:ascii="Arial" w:cs="Arial" w:eastAsia="Arial" w:hAnsi="Arial"/>
            <w:color w:val="2E75B6"/>
            <w:sz w:val="20"/>
            <w:szCs w:val="20"/>
            <w:u w:val="single"/>
          </w:rPr>
          <w:t xml:space="preserve">Corey@McCarty.dev</w:t>
        </w:r>
      </w:hyperlink>
      <w:r>
        <w:rPr>
          <w:rFonts w:ascii="Arial" w:cs="Arial" w:eastAsia="Arial" w:hAnsi="Arial"/>
          <w:color w:val="999999"/>
          <w:sz w:val="20"/>
          <w:szCs w:val="20"/>
        </w:rPr>
        <w:t xml:space="preserve">   ·   </w:t>
      </w:r>
      <w:hyperlink w:history="1" r:id="rIdjja_-xeyecqjor5pftv3v">
        <w:r>
          <w:rPr>
            <w:rFonts w:ascii="Arial" w:cs="Arial" w:eastAsia="Arial" w:hAnsi="Arial"/>
            <w:color w:val="2E75B6"/>
            <w:sz w:val="20"/>
            <w:szCs w:val="20"/>
            <w:u w:val="single"/>
          </w:rPr>
          <w:t xml:space="preserve">coreydmccarty.dev</w:t>
        </w:r>
      </w:hyperlink>
      <w:r>
        <w:rPr>
          <w:rFonts w:ascii="Arial" w:cs="Arial" w:eastAsia="Arial" w:hAnsi="Arial"/>
          <w:color w:val="999999"/>
          <w:sz w:val="20"/>
          <w:szCs w:val="20"/>
        </w:rPr>
        <w:t xml:space="preserve">   ·   </w:t>
      </w:r>
      <w:hyperlink w:history="1" r:id="rIdd1bls3of1i1qlmaw9ntva">
        <w:r>
          <w:rPr>
            <w:rFonts w:ascii="Arial" w:cs="Arial" w:eastAsia="Arial" w:hAnsi="Arial"/>
            <w:color w:val="2E75B6"/>
            <w:sz w:val="20"/>
            <w:szCs w:val="20"/>
            <w:u w:val="single"/>
          </w:rPr>
          <w:t xml:space="preserve">linkedin.com/in/coreydmccarty</w:t>
        </w:r>
      </w:hyperlink>
    </w:p>
    <w:p>
      <w:pPr>
        <w:pBdr>
          <w:bottom w:val="single" w:color="2E75B6" w:sz="6" w:space="4"/>
        </w:pBdr>
        <w:spacing w:after="80" w:before="300"/>
      </w:pPr>
      <w:r>
        <w:rPr>
          <w:rFonts w:ascii="Arial" w:cs="Arial" w:eastAsia="Arial" w:hAnsi="Arial"/>
          <w:b/>
          <w:bCs/>
          <w:color w:val="1E3A5F"/>
          <w:spacing w:val="50"/>
          <w:sz w:val="22"/>
          <w:szCs w:val="22"/>
        </w:rPr>
        <w:t xml:space="preserve">SUMMARY</w:t>
      </w:r>
    </w:p>
    <w:p>
      <w:pPr>
        <w:spacing w:after="80" w:before="80"/>
      </w:pPr>
      <w:r>
        <w:rPr>
          <w:rFonts w:ascii="Arial" w:cs="Arial" w:eastAsia="Arial" w:hAnsi="Arial"/>
          <w:color w:val="444444"/>
          <w:sz w:val="20"/>
          <w:szCs w:val="20"/>
        </w:rPr>
        <w:t xml:space="preserve">I build engineering teams that outlast me. Over 4.5 years at Summit Professional Education I grew five engineers — across bootcamp, MIS, and sysadmin backgrounds — into a high-functioning team capable of leading projects, owning infrastructure, and delivering through real organizational chaos. I reported to the CTO, owned architecture and infrastructure decisions, and consistently absorbed pressure upward so my team could grow instead of just survive.</w:t>
      </w:r>
    </w:p>
    <w:p>
      <w:pPr>
        <w:spacing w:after="80" w:before="60"/>
      </w:pPr>
      <w:r>
        <w:rPr>
          <w:rFonts w:ascii="Arial" w:cs="Arial" w:eastAsia="Arial" w:hAnsi="Arial"/>
          <w:color w:val="444444"/>
          <w:sz w:val="20"/>
          <w:szCs w:val="20"/>
        </w:rPr>
        <w:t xml:space="preserve">My conviction is that sustainable pace and psychological safety aren't soft values — they're the conditions under which senior engineers actually develop. As AI takes on more execution work, the industry needs leaders who know how to grow the human judgment that AI cannot replicate. I've spent my career doing exactly that.</w:t>
      </w:r>
    </w:p>
    <w:p>
      <w:pPr>
        <w:pBdr>
          <w:bottom w:val="single" w:color="2E75B6" w:sz="6" w:space="4"/>
        </w:pBdr>
        <w:spacing w:after="80" w:before="300"/>
      </w:pPr>
      <w:r>
        <w:rPr>
          <w:rFonts w:ascii="Arial" w:cs="Arial" w:eastAsia="Arial" w:hAnsi="Arial"/>
          <w:b/>
          <w:bCs/>
          <w:color w:val="1E3A5F"/>
          <w:spacing w:val="50"/>
          <w:sz w:val="22"/>
          <w:szCs w:val="22"/>
        </w:rPr>
        <w:t xml:space="preserve">SYSTEMS &amp; ARCHITECTURE HIGHLIGHTS</w:t>
      </w:r>
    </w:p>
    <w:p>
      <w:pPr>
        <w:pStyle w:val="ListParagraph"/>
        <w:numPr>
          <w:ilvl w:val="0"/>
          <w:numId w:val="2"/>
        </w:numPr>
        <w:spacing w:after="40" w:before="40"/>
      </w:pPr>
      <w:r>
        <w:rPr>
          <w:rFonts w:ascii="Arial" w:cs="Arial" w:eastAsia="Arial" w:hAnsi="Arial"/>
          <w:color w:val="444444"/>
          <w:sz w:val="20"/>
          <w:szCs w:val="20"/>
        </w:rPr>
        <w:t xml:space="preserve">Modernized legacy JSP monolith to Vue 3 / Nuxt.js frontend + Spring Boot API across Summit's portfolio of four continuing education brands</w:t>
      </w:r>
    </w:p>
    <w:p>
      <w:pPr>
        <w:pStyle w:val="ListParagraph"/>
        <w:numPr>
          <w:ilvl w:val="0"/>
          <w:numId w:val="2"/>
        </w:numPr>
        <w:spacing w:after="40" w:before="40"/>
      </w:pPr>
      <w:r>
        <w:rPr>
          <w:rFonts w:ascii="Arial" w:cs="Arial" w:eastAsia="Arial" w:hAnsi="Arial"/>
          <w:color w:val="444444"/>
          <w:sz w:val="20"/>
          <w:szCs w:val="20"/>
        </w:rPr>
        <w:t xml:space="preserve">Designed and operated AWS cloud infrastructure across 20+ Elastic Beanstalk environments with full staging/production parity</w:t>
      </w:r>
    </w:p>
    <w:p>
      <w:pPr>
        <w:pStyle w:val="ListParagraph"/>
        <w:numPr>
          <w:ilvl w:val="0"/>
          <w:numId w:val="2"/>
        </w:numPr>
        <w:spacing w:after="40" w:before="40"/>
      </w:pPr>
      <w:r>
        <w:rPr>
          <w:rFonts w:ascii="Arial" w:cs="Arial" w:eastAsia="Arial" w:hAnsi="Arial"/>
          <w:color w:val="444444"/>
          <w:sz w:val="20"/>
          <w:szCs w:val="20"/>
        </w:rPr>
        <w:t xml:space="preserve">Reduced application load times by ~90% (7 minutes → seconds) through database model redesign and query optimization</w:t>
      </w:r>
    </w:p>
    <w:p>
      <w:pPr>
        <w:pStyle w:val="ListParagraph"/>
        <w:numPr>
          <w:ilvl w:val="0"/>
          <w:numId w:val="2"/>
        </w:numPr>
        <w:spacing w:after="40" w:before="40"/>
      </w:pPr>
      <w:r>
        <w:rPr>
          <w:rFonts w:ascii="Arial" w:cs="Arial" w:eastAsia="Arial" w:hAnsi="Arial"/>
          <w:color w:val="444444"/>
          <w:sz w:val="20"/>
          <w:szCs w:val="20"/>
        </w:rPr>
        <w:t xml:space="preserve">Led cross-brand data system integration across four acquired companies including security hardening, database integrity improvements, and VPN implementation</w:t>
      </w:r>
    </w:p>
    <w:p>
      <w:pPr>
        <w:pStyle w:val="ListParagraph"/>
        <w:numPr>
          <w:ilvl w:val="0"/>
          <w:numId w:val="2"/>
        </w:numPr>
        <w:spacing w:after="40" w:before="40"/>
      </w:pPr>
      <w:r>
        <w:rPr>
          <w:rFonts w:ascii="Arial" w:cs="Arial" w:eastAsia="Arial" w:hAnsi="Arial"/>
          <w:color w:val="444444"/>
          <w:sz w:val="20"/>
          <w:szCs w:val="20"/>
        </w:rPr>
        <w:t xml:space="preserve">Recovered and delivered a hybrid HubSpot/Nuxt CMS architecture — correctly scoping static vs. dynamic content after inheriting a project requiring full technical re-evaluation</w:t>
      </w:r>
    </w:p>
    <w:p>
      <w:pPr>
        <w:pStyle w:val="ListParagraph"/>
        <w:numPr>
          <w:ilvl w:val="0"/>
          <w:numId w:val="2"/>
        </w:numPr>
        <w:spacing w:after="40" w:before="40"/>
      </w:pPr>
      <w:r>
        <w:rPr>
          <w:rFonts w:ascii="Arial" w:cs="Arial" w:eastAsia="Arial" w:hAnsi="Arial"/>
          <w:color w:val="444444"/>
          <w:sz w:val="20"/>
          <w:szCs w:val="20"/>
        </w:rPr>
        <w:t xml:space="preserve">Achieved best-ever organic search rankings through ground-up Google Search Console work, SSR deployment, dynamic sitemap generation, and core web vitals improvements</w:t>
      </w:r>
    </w:p>
    <w:p>
      <w:pPr>
        <w:pStyle w:val="ListParagraph"/>
        <w:numPr>
          <w:ilvl w:val="0"/>
          <w:numId w:val="2"/>
        </w:numPr>
        <w:spacing w:after="40" w:before="40"/>
      </w:pPr>
      <w:r>
        <w:rPr>
          <w:rFonts w:ascii="Arial" w:cs="Arial" w:eastAsia="Arial" w:hAnsi="Arial"/>
          <w:color w:val="444444"/>
          <w:sz w:val="20"/>
          <w:szCs w:val="20"/>
        </w:rPr>
        <w:t xml:space="preserve">Owned and operated Common Data Service (CDS) at FedEx — a 60 TB multi-tenant XML data platform across two redundant data centers serving multiple FedEx operating companies</w:t>
      </w:r>
    </w:p>
    <w:p>
      <w:pPr>
        <w:pStyle w:val="ListParagraph"/>
        <w:numPr>
          <w:ilvl w:val="0"/>
          <w:numId w:val="2"/>
        </w:numPr>
        <w:spacing w:after="40" w:before="40"/>
      </w:pPr>
      <w:r>
        <w:rPr>
          <w:rFonts w:ascii="Arial" w:cs="Arial" w:eastAsia="Arial" w:hAnsi="Arial"/>
          <w:color w:val="444444"/>
          <w:sz w:val="20"/>
          <w:szCs w:val="20"/>
        </w:rPr>
        <w:t xml:space="preserve">Evaluated Go for enterprise adoption at Juice Plus — recommended against it based on organizational absorption cost and staff continuity despite strong technical fit</w:t>
      </w:r>
    </w:p>
    <w:p>
      <w:pPr>
        <w:pBdr>
          <w:bottom w:val="single" w:color="2E75B6" w:sz="6" w:space="4"/>
        </w:pBdr>
        <w:spacing w:after="80" w:before="300"/>
      </w:pPr>
      <w:r>
        <w:rPr>
          <w:rFonts w:ascii="Arial" w:cs="Arial" w:eastAsia="Arial" w:hAnsi="Arial"/>
          <w:b/>
          <w:bCs/>
          <w:color w:val="1E3A5F"/>
          <w:spacing w:val="50"/>
          <w:sz w:val="22"/>
          <w:szCs w:val="22"/>
        </w:rPr>
        <w:t xml:space="preserve">EXPERIENCE</w:t>
      </w:r>
    </w:p>
    <w:p>
      <w:pPr>
        <w:tabs>
          <w:tab w:val="right" w:pos="9360"/>
        </w:tabs>
        <w:spacing w:after="20" w:before="200"/>
      </w:pPr>
      <w:r>
        <w:rPr>
          <w:rFonts w:ascii="Arial" w:cs="Arial" w:eastAsia="Arial" w:hAnsi="Arial"/>
          <w:b/>
          <w:bCs/>
          <w:color w:val="1E3A5F"/>
          <w:sz w:val="24"/>
          <w:szCs w:val="24"/>
        </w:rPr>
        <w:t xml:space="preserve">Lead Developer</w:t>
      </w:r>
      <w:r>
        <w:rPr>
          <w:rFonts w:ascii="Arial" w:cs="Arial" w:eastAsia="Arial" w:hAnsi="Arial"/>
          <w:i/>
          <w:iCs/>
          <w:color w:val="666666"/>
          <w:sz w:val="20"/>
          <w:szCs w:val="20"/>
        </w:rPr>
        <w:t xml:space="preserve">  (Staff Engineer / Engineering Lead scope)</w:t>
      </w:r>
      <w:r>
        <w:rPr>
          <w:rFonts w:ascii="Arial" w:cs="Arial" w:eastAsia="Arial" w:hAnsi="Arial"/>
        </w:rPr>
        <w:t xml:space="preserve">	</w:t>
      </w:r>
      <w:r>
        <w:rPr>
          <w:rFonts w:ascii="Arial" w:cs="Arial" w:eastAsia="Arial" w:hAnsi="Arial"/>
          <w:i/>
          <w:iCs/>
          <w:color w:val="999999"/>
          <w:sz w:val="20"/>
          <w:szCs w:val="20"/>
        </w:rPr>
        <w:t xml:space="preserve">Dec 2021 – Aug 2026</w:t>
      </w:r>
    </w:p>
    <w:p>
      <w:pPr>
        <w:spacing w:after="80" w:before="0"/>
      </w:pPr>
      <w:r>
        <w:rPr>
          <w:rFonts w:ascii="Arial" w:cs="Arial" w:eastAsia="Arial" w:hAnsi="Arial"/>
          <w:b/>
          <w:bCs/>
          <w:color w:val="2E75B6"/>
          <w:sz w:val="22"/>
          <w:szCs w:val="22"/>
        </w:rPr>
        <w:t xml:space="preserve">Summit Professional Education</w:t>
      </w:r>
      <w:r>
        <w:rPr>
          <w:rFonts w:ascii="Arial" w:cs="Arial" w:eastAsia="Arial" w:hAnsi="Arial"/>
          <w:color w:val="999999"/>
          <w:sz w:val="20"/>
          <w:szCs w:val="20"/>
        </w:rPr>
        <w:t xml:space="preserve">   ·   Memphis, TN · Remote</w:t>
      </w:r>
    </w:p>
    <w:p>
      <w:pPr>
        <w:spacing w:after="60" w:before="40"/>
      </w:pPr>
      <w:r>
        <w:rPr>
          <w:rFonts w:ascii="Arial" w:cs="Arial" w:eastAsia="Arial" w:hAnsi="Arial"/>
          <w:i/>
          <w:iCs/>
          <w:color w:val="666666"/>
          <w:sz w:val="20"/>
          <w:szCs w:val="20"/>
        </w:rPr>
        <w:t xml:space="preserve">Reporting to the CTO: full-stack architecture, AWS infrastructure, and engineering team leadership across Summit's portfolio of four continuing professional education brands — Herman &amp; Wallace, NFPT, PT Final Exam, and The Knowledge Tree.</w:t>
      </w:r>
    </w:p>
    <w:p>
      <w:pPr>
        <w:spacing w:after="30" w:before="140"/>
      </w:pPr>
      <w:r>
        <w:rPr>
          <w:rFonts w:ascii="Arial" w:cs="Arial" w:eastAsia="Arial" w:hAnsi="Arial"/>
          <w:b/>
          <w:bCs/>
          <w:color w:val="2E75B6"/>
          <w:spacing w:val="30"/>
          <w:sz w:val="18"/>
          <w:szCs w:val="18"/>
        </w:rPr>
        <w:t xml:space="preserve">PLATFORM ARCHITECTURE &amp; INFRASTRUCTURE</w:t>
      </w:r>
    </w:p>
    <w:p>
      <w:pPr>
        <w:pStyle w:val="ListParagraph"/>
        <w:numPr>
          <w:ilvl w:val="0"/>
          <w:numId w:val="2"/>
        </w:numPr>
        <w:spacing w:after="40" w:before="40"/>
      </w:pPr>
      <w:r>
        <w:rPr>
          <w:rFonts w:ascii="Arial" w:cs="Arial" w:eastAsia="Arial" w:hAnsi="Arial"/>
          <w:color w:val="444444"/>
          <w:sz w:val="20"/>
          <w:szCs w:val="20"/>
        </w:rPr>
        <w:t xml:space="preserve">Led migration of legacy Java 7 / JSP monolith to Vue 3 / Nuxt.js frontend with Spring Boot REST API — decoupling a tightly coupled system and enabling faster, independent deployments across all four brands</w:t>
      </w:r>
    </w:p>
    <w:p>
      <w:pPr>
        <w:pStyle w:val="ListParagraph"/>
        <w:numPr>
          <w:ilvl w:val="0"/>
          <w:numId w:val="2"/>
        </w:numPr>
        <w:spacing w:after="40" w:before="40"/>
      </w:pPr>
      <w:r>
        <w:rPr>
          <w:rFonts w:ascii="Arial" w:cs="Arial" w:eastAsia="Arial" w:hAnsi="Arial"/>
          <w:color w:val="444444"/>
          <w:sz w:val="20"/>
          <w:szCs w:val="20"/>
        </w:rPr>
        <w:t xml:space="preserve">Owned Aurora MySQL schema across all applications as sole DDL committer; responsible for data integrity across production workloads shared by sales, CS, marketing, and LMS systems</w:t>
      </w:r>
    </w:p>
    <w:p>
      <w:pPr>
        <w:pStyle w:val="ListParagraph"/>
        <w:numPr>
          <w:ilvl w:val="0"/>
          <w:numId w:val="2"/>
        </w:numPr>
        <w:spacing w:after="40" w:before="40"/>
      </w:pPr>
      <w:r>
        <w:rPr>
          <w:rFonts w:ascii="Arial" w:cs="Arial" w:eastAsia="Arial" w:hAnsi="Arial"/>
          <w:color w:val="444444"/>
          <w:sz w:val="20"/>
          <w:szCs w:val="20"/>
        </w:rPr>
        <w:t xml:space="preserve">Reduced critical page load times by ~90% (7 minutes → seconds) through data model redesign and query optimization, directly improving revenue funnel performance</w:t>
      </w:r>
    </w:p>
    <w:p>
      <w:pPr>
        <w:pStyle w:val="ListParagraph"/>
        <w:numPr>
          <w:ilvl w:val="0"/>
          <w:numId w:val="2"/>
        </w:numPr>
        <w:spacing w:after="40" w:before="40"/>
      </w:pPr>
      <w:r>
        <w:rPr>
          <w:rFonts w:ascii="Arial" w:cs="Arial" w:eastAsia="Arial" w:hAnsi="Arial"/>
          <w:color w:val="444444"/>
          <w:sz w:val="20"/>
          <w:szCs w:val="20"/>
        </w:rPr>
        <w:t xml:space="preserve">Drove Docker-containerized deployments across 20+ AWS Elastic Beanstalk environments; initiated Amazon Linux 2 → 2023 upgrade strategy using clean-environment migration</w:t>
      </w:r>
    </w:p>
    <w:p>
      <w:pPr>
        <w:pStyle w:val="ListParagraph"/>
        <w:numPr>
          <w:ilvl w:val="0"/>
          <w:numId w:val="2"/>
        </w:numPr>
        <w:spacing w:after="40" w:before="40"/>
      </w:pPr>
      <w:r>
        <w:rPr>
          <w:rFonts w:ascii="Arial" w:cs="Arial" w:eastAsia="Arial" w:hAnsi="Arial"/>
          <w:color w:val="444444"/>
          <w:sz w:val="20"/>
          <w:szCs w:val="20"/>
        </w:rPr>
        <w:t xml:space="preserve">Architected next-generation internal operations platform in Vue 3 / Spring Boot to replace legacy Node.js/Express tooling</w:t>
      </w:r>
    </w:p>
    <w:p>
      <w:pPr>
        <w:pStyle w:val="ListParagraph"/>
        <w:numPr>
          <w:ilvl w:val="0"/>
          <w:numId w:val="2"/>
        </w:numPr>
        <w:spacing w:after="40" w:before="40"/>
      </w:pPr>
      <w:r>
        <w:rPr>
          <w:rFonts w:ascii="Arial" w:cs="Arial" w:eastAsia="Arial" w:hAnsi="Arial"/>
          <w:color w:val="444444"/>
          <w:sz w:val="20"/>
          <w:szCs w:val="20"/>
        </w:rPr>
        <w:t xml:space="preserve">Maintained 140+ AWS Lambda functions including critical auth path; triaged EOL runtime risks and documented security exposure</w:t>
      </w:r>
    </w:p>
    <w:p>
      <w:pPr>
        <w:pStyle w:val="ListParagraph"/>
        <w:numPr>
          <w:ilvl w:val="0"/>
          <w:numId w:val="2"/>
        </w:numPr>
        <w:spacing w:after="40" w:before="40"/>
      </w:pPr>
      <w:r>
        <w:rPr>
          <w:rFonts w:ascii="Arial" w:cs="Arial" w:eastAsia="Arial" w:hAnsi="Arial"/>
          <w:color w:val="444444"/>
          <w:sz w:val="20"/>
          <w:szCs w:val="20"/>
        </w:rPr>
        <w:t xml:space="preserve">Led cross-brand data system integration across four acquired companies — consolidating the data layer, implementing VPN access controls, and improving database security and integrity</w:t>
      </w:r>
    </w:p>
    <w:p>
      <w:pPr>
        <w:spacing w:after="30" w:before="140"/>
      </w:pPr>
      <w:r>
        <w:rPr>
          <w:rFonts w:ascii="Arial" w:cs="Arial" w:eastAsia="Arial" w:hAnsi="Arial"/>
          <w:b/>
          <w:bCs/>
          <w:color w:val="2E75B6"/>
          <w:spacing w:val="30"/>
          <w:sz w:val="18"/>
          <w:szCs w:val="18"/>
        </w:rPr>
        <w:t xml:space="preserve">DELIVERY UNDER PRESSURE &amp; STAKEHOLDER MANAGEMENT</w:t>
      </w:r>
    </w:p>
    <w:p>
      <w:pPr>
        <w:pStyle w:val="ListParagraph"/>
        <w:numPr>
          <w:ilvl w:val="0"/>
          <w:numId w:val="2"/>
        </w:numPr>
        <w:spacing w:after="40" w:before="40"/>
      </w:pPr>
      <w:r>
        <w:rPr>
          <w:rFonts w:ascii="Arial" w:cs="Arial" w:eastAsia="Arial" w:hAnsi="Arial"/>
          <w:color w:val="444444"/>
          <w:sz w:val="20"/>
          <w:szCs w:val="20"/>
        </w:rPr>
        <w:t xml:space="preserve">Re-scoped and delivered a hybrid HubSpot/Nuxt CMS architecture — static content in HubSpot, dynamic application in Nuxt — after inheriting a project requiring full technical re-evaluation; delivered a seamless user experience two months after re-scoping</w:t>
      </w:r>
    </w:p>
    <w:p>
      <w:pPr>
        <w:pStyle w:val="ListParagraph"/>
        <w:numPr>
          <w:ilvl w:val="0"/>
          <w:numId w:val="2"/>
        </w:numPr>
        <w:spacing w:after="40" w:before="40"/>
      </w:pPr>
      <w:r>
        <w:rPr>
          <w:rFonts w:ascii="Arial" w:cs="Arial" w:eastAsia="Arial" w:hAnsi="Arial"/>
          <w:color w:val="444444"/>
          <w:sz w:val="20"/>
          <w:szCs w:val="20"/>
        </w:rPr>
        <w:t xml:space="preserve">Led SSR deployment and dynamic sitemap implementation under significant stakeholder pressure and unclear ownership; diagnosed and resolved production failures post-deployment and recovered to achieve the company's best-ever organic search rankings</w:t>
      </w:r>
    </w:p>
    <w:p>
      <w:pPr>
        <w:pStyle w:val="ListParagraph"/>
        <w:numPr>
          <w:ilvl w:val="0"/>
          <w:numId w:val="2"/>
        </w:numPr>
        <w:spacing w:after="40" w:before="40"/>
      </w:pPr>
      <w:r>
        <w:rPr>
          <w:rFonts w:ascii="Arial" w:cs="Arial" w:eastAsia="Arial" w:hAnsi="Arial"/>
          <w:color w:val="444444"/>
          <w:sz w:val="20"/>
          <w:szCs w:val="20"/>
        </w:rPr>
        <w:t xml:space="preserve">Conducted ground-up Google Search Console analysis alongside CTO and contractor to identify the full picture of contributing factors to an SEO value drop, separating technical from non-technical causes</w:t>
      </w:r>
    </w:p>
    <w:p>
      <w:pPr>
        <w:pStyle w:val="ListParagraph"/>
        <w:numPr>
          <w:ilvl w:val="0"/>
          <w:numId w:val="2"/>
        </w:numPr>
        <w:spacing w:after="40" w:before="40"/>
      </w:pPr>
      <w:r>
        <w:rPr>
          <w:rFonts w:ascii="Arial" w:cs="Arial" w:eastAsia="Arial" w:hAnsi="Arial"/>
          <w:color w:val="444444"/>
          <w:sz w:val="20"/>
          <w:szCs w:val="20"/>
        </w:rPr>
        <w:t xml:space="preserve">Maintained delivery and team stability through significant contractor attrition during a critical deployment window — completing the release with the team that remained</w:t>
      </w:r>
    </w:p>
    <w:p>
      <w:pPr>
        <w:pStyle w:val="ListParagraph"/>
        <w:numPr>
          <w:ilvl w:val="0"/>
          <w:numId w:val="2"/>
        </w:numPr>
        <w:spacing w:after="40" w:before="40"/>
      </w:pPr>
      <w:r>
        <w:rPr>
          <w:rFonts w:ascii="Arial" w:cs="Arial" w:eastAsia="Arial" w:hAnsi="Arial"/>
          <w:color w:val="444444"/>
          <w:sz w:val="20"/>
          <w:szCs w:val="20"/>
        </w:rPr>
        <w:t xml:space="preserve">Identified and documented critical infrastructure gaps including pipeline configurations absent from source control, active credential exposure from former employees, and absence of application-error monitoring</w:t>
      </w:r>
    </w:p>
    <w:p>
      <w:pPr>
        <w:spacing w:after="30" w:before="140"/>
      </w:pPr>
      <w:r>
        <w:rPr>
          <w:rFonts w:ascii="Arial" w:cs="Arial" w:eastAsia="Arial" w:hAnsi="Arial"/>
          <w:b/>
          <w:bCs/>
          <w:color w:val="2E75B6"/>
          <w:spacing w:val="30"/>
          <w:sz w:val="18"/>
          <w:szCs w:val="18"/>
        </w:rPr>
        <w:t xml:space="preserve">TEAM LEADERSHIP &amp; DEVELOPER GROWTH</w:t>
      </w:r>
    </w:p>
    <w:p>
      <w:pPr>
        <w:pStyle w:val="ListParagraph"/>
        <w:numPr>
          <w:ilvl w:val="0"/>
          <w:numId w:val="2"/>
        </w:numPr>
        <w:spacing w:after="40" w:before="40"/>
      </w:pPr>
      <w:r>
        <w:rPr>
          <w:rFonts w:ascii="Arial" w:cs="Arial" w:eastAsia="Arial" w:hAnsi="Arial"/>
          <w:color w:val="444444"/>
          <w:sz w:val="20"/>
          <w:szCs w:val="20"/>
        </w:rPr>
        <w:t xml:space="preserve">Built and scaled the engineering team from an unstructured 2-person group to five engineers across frontend, backend, DevOps, SEO/technical, and security disciplines — every developer growing beyond their original lane</w:t>
      </w:r>
    </w:p>
    <w:p>
      <w:pPr>
        <w:pStyle w:val="ListParagraph"/>
        <w:numPr>
          <w:ilvl w:val="0"/>
          <w:numId w:val="2"/>
        </w:numPr>
        <w:spacing w:after="40" w:before="40"/>
      </w:pPr>
      <w:r>
        <w:rPr>
          <w:rFonts w:ascii="Arial" w:cs="Arial" w:eastAsia="Arial" w:hAnsi="Arial"/>
          <w:color w:val="444444"/>
          <w:sz w:val="20"/>
          <w:szCs w:val="20"/>
        </w:rPr>
        <w:t xml:space="preserve">Grew two junior developers across different educational backgrounds into young seniors capable of leading project workstreams, researching solutions independently, and bringing decisions rather than waiting for direction</w:t>
      </w:r>
    </w:p>
    <w:p>
      <w:pPr>
        <w:pStyle w:val="ListParagraph"/>
        <w:numPr>
          <w:ilvl w:val="0"/>
          <w:numId w:val="2"/>
        </w:numPr>
        <w:spacing w:after="40" w:before="40"/>
      </w:pPr>
      <w:r>
        <w:rPr>
          <w:rFonts w:ascii="Arial" w:cs="Arial" w:eastAsia="Arial" w:hAnsi="Arial"/>
          <w:color w:val="444444"/>
          <w:sz w:val="20"/>
          <w:szCs w:val="20"/>
        </w:rPr>
        <w:t xml:space="preserve">Developed an infrastructure-background engineer into a full-stack contributor who now owns CI/CD pipeline health, deployment failure remediation, and AWS environment management</w:t>
      </w:r>
    </w:p>
    <w:p>
      <w:pPr>
        <w:pStyle w:val="ListParagraph"/>
        <w:numPr>
          <w:ilvl w:val="0"/>
          <w:numId w:val="2"/>
        </w:numPr>
        <w:spacing w:after="40" w:before="40"/>
      </w:pPr>
      <w:r>
        <w:rPr>
          <w:rFonts w:ascii="Arial" w:cs="Arial" w:eastAsia="Arial" w:hAnsi="Arial"/>
          <w:color w:val="444444"/>
          <w:sz w:val="20"/>
          <w:szCs w:val="20"/>
        </w:rPr>
        <w:t xml:space="preserve">Established twice-daily alignment syncs as a structured mentorship mechanism — removing blockers, teaching diagnostic frameworks, and building the judgment that turns capable coders into engineers</w:t>
      </w:r>
    </w:p>
    <w:p>
      <w:pPr>
        <w:pStyle w:val="ListParagraph"/>
        <w:numPr>
          <w:ilvl w:val="0"/>
          <w:numId w:val="2"/>
        </w:numPr>
        <w:spacing w:after="40" w:before="40"/>
      </w:pPr>
      <w:r>
        <w:rPr>
          <w:rFonts w:ascii="Arial" w:cs="Arial" w:eastAsia="Arial" w:hAnsi="Arial"/>
          <w:color w:val="444444"/>
          <w:sz w:val="20"/>
          <w:szCs w:val="20"/>
        </w:rPr>
        <w:t xml:space="preserve">Distributed leadership across the team when board-driven initiatives exceeded realistic velocity — each developer became a project lead, freeing the team from a single-point-of-failure bottleneck</w:t>
      </w:r>
    </w:p>
    <w:p>
      <w:pPr>
        <w:pStyle w:val="ListParagraph"/>
        <w:numPr>
          <w:ilvl w:val="0"/>
          <w:numId w:val="2"/>
        </w:numPr>
        <w:spacing w:after="40" w:before="40"/>
      </w:pPr>
      <w:r>
        <w:rPr>
          <w:rFonts w:ascii="Arial" w:cs="Arial" w:eastAsia="Arial" w:hAnsi="Arial"/>
          <w:color w:val="444444"/>
          <w:sz w:val="20"/>
          <w:szCs w:val="20"/>
        </w:rPr>
        <w:t xml:space="preserve">Enabled full ownership of release management within the team — designing an Asana-based framework tying work tasks to environment promotion, release notes, and production deployment documentation</w:t>
      </w:r>
    </w:p>
    <w:p>
      <w:pPr>
        <w:pStyle w:val="ListParagraph"/>
        <w:numPr>
          <w:ilvl w:val="0"/>
          <w:numId w:val="2"/>
        </w:numPr>
        <w:spacing w:after="40" w:before="40"/>
      </w:pPr>
      <w:r>
        <w:rPr>
          <w:rFonts w:ascii="Arial" w:cs="Arial" w:eastAsia="Arial" w:hAnsi="Arial"/>
          <w:color w:val="444444"/>
          <w:sz w:val="20"/>
          <w:szCs w:val="20"/>
        </w:rPr>
        <w:t xml:space="preserve">Built a centralized AI-assisted development knowledge base covering architecture decisions, code review, deploy checklists, and onboarding</w:t>
      </w:r>
    </w:p>
    <w:p>
      <w:pPr>
        <w:spacing w:after="30" w:before="140"/>
      </w:pPr>
      <w:r>
        <w:rPr>
          <w:rFonts w:ascii="Arial" w:cs="Arial" w:eastAsia="Arial" w:hAnsi="Arial"/>
          <w:b/>
          <w:bCs/>
          <w:color w:val="2E75B6"/>
          <w:spacing w:val="30"/>
          <w:sz w:val="18"/>
          <w:szCs w:val="18"/>
        </w:rPr>
        <w:t xml:space="preserve">CROSS-FUNCTIONAL &amp; EXECUTIVE PARTNERSHIP</w:t>
      </w:r>
    </w:p>
    <w:p>
      <w:pPr>
        <w:pStyle w:val="ListParagraph"/>
        <w:numPr>
          <w:ilvl w:val="0"/>
          <w:numId w:val="2"/>
        </w:numPr>
        <w:spacing w:after="40" w:before="40"/>
      </w:pPr>
      <w:r>
        <w:rPr>
          <w:rFonts w:ascii="Arial" w:cs="Arial" w:eastAsia="Arial" w:hAnsi="Arial"/>
          <w:color w:val="444444"/>
          <w:sz w:val="20"/>
          <w:szCs w:val="20"/>
        </w:rPr>
        <w:t xml:space="preserve">Served as primary technical liaison to Marketing, Product, Sales, Customer Success, and Finance — translating business constraints into honest technical roadmaps</w:t>
      </w:r>
    </w:p>
    <w:p>
      <w:pPr>
        <w:pStyle w:val="ListParagraph"/>
        <w:numPr>
          <w:ilvl w:val="0"/>
          <w:numId w:val="2"/>
        </w:numPr>
        <w:spacing w:after="40" w:before="40"/>
      </w:pPr>
      <w:r>
        <w:rPr>
          <w:rFonts w:ascii="Arial" w:cs="Arial" w:eastAsia="Arial" w:hAnsi="Arial"/>
          <w:color w:val="444444"/>
          <w:sz w:val="20"/>
          <w:szCs w:val="20"/>
        </w:rPr>
        <w:t xml:space="preserve">Established a sustainable-pace, no-blame engineering culture in month two of tenure — held that standard for 4.5 years through a private equity acquisition and accelerated delivery demands while other teams in the company faced significant burnout and turnover</w:t>
      </w:r>
    </w:p>
    <w:p>
      <w:pPr>
        <w:pStyle w:val="ListParagraph"/>
        <w:numPr>
          <w:ilvl w:val="0"/>
          <w:numId w:val="2"/>
        </w:numPr>
        <w:spacing w:after="40" w:before="40"/>
      </w:pPr>
      <w:r>
        <w:rPr>
          <w:rFonts w:ascii="Arial" w:cs="Arial" w:eastAsia="Arial" w:hAnsi="Arial"/>
          <w:color w:val="444444"/>
          <w:sz w:val="20"/>
          <w:szCs w:val="20"/>
        </w:rPr>
        <w:t xml:space="preserve">Shifted engineering culture from siloed and transactional to a trusted cross-functional partner, improving alignment and the team's ability to deliver meaningful outcomes across departments</w:t>
      </w:r>
    </w:p>
    <w:p>
      <w:pPr>
        <w:spacing w:after="60" w:before="80"/>
      </w:pPr>
      <w:r>
        <w:rPr>
          <w:rFonts w:ascii="Arial" w:cs="Arial" w:eastAsia="Arial" w:hAnsi="Arial"/>
          <w:b/>
          <w:bCs/>
          <w:color w:val="666666"/>
          <w:sz w:val="18"/>
          <w:szCs w:val="18"/>
        </w:rPr>
        <w:t xml:space="preserve">Stack: </w:t>
      </w:r>
      <w:r>
        <w:rPr>
          <w:rFonts w:ascii="Arial" w:cs="Arial" w:eastAsia="Arial" w:hAnsi="Arial"/>
          <w:i/>
          <w:iCs/>
          <w:color w:val="666666"/>
          <w:sz w:val="18"/>
          <w:szCs w:val="18"/>
        </w:rPr>
        <w:t xml:space="preserve">Java · Spring Boot · Vue 3 · Nuxt.js · AWS (EB, Lambda, Aurora, SQS, API GW) · Docker · Jenkins · Python · MySQL · HubSpot CMS</w:t>
      </w:r>
    </w:p>
    <w:p>
      <w:pPr>
        <w:spacing w:after="80" w:before="0"/>
      </w:pPr>
      <w:r>
        <w:rPr>
          <w:rFonts w:ascii="Arial" w:cs="Arial" w:eastAsia="Arial" w:hAnsi="Arial"/>
          <w:color w:val="444444"/>
          <w:sz w:val="20"/>
          <w:szCs w:val="20"/>
        </w:rPr>
        <w:t xml:space="preserve"/>
      </w:r>
    </w:p>
    <w:p>
      <w:pPr>
        <w:tabs>
          <w:tab w:val="right" w:pos="9360"/>
        </w:tabs>
        <w:spacing w:after="20" w:before="200"/>
      </w:pPr>
      <w:r>
        <w:rPr>
          <w:rFonts w:ascii="Arial" w:cs="Arial" w:eastAsia="Arial" w:hAnsi="Arial"/>
          <w:b/>
          <w:bCs/>
          <w:color w:val="1E3A5F"/>
          <w:sz w:val="24"/>
          <w:szCs w:val="24"/>
        </w:rPr>
        <w:t xml:space="preserve">Software Engineer</w:t>
      </w:r>
      <w:r>
        <w:rPr>
          <w:rFonts w:ascii="Arial" w:cs="Arial" w:eastAsia="Arial" w:hAnsi="Arial"/>
          <w:i/>
          <w:iCs/>
          <w:color w:val="666666"/>
          <w:sz w:val="20"/>
          <w:szCs w:val="20"/>
        </w:rPr>
        <w:t xml:space="preserve">  (Junior Developer → Special Projects &amp; Architecture)</w:t>
      </w:r>
      <w:r>
        <w:rPr>
          <w:rFonts w:ascii="Arial" w:cs="Arial" w:eastAsia="Arial" w:hAnsi="Arial"/>
        </w:rPr>
        <w:t xml:space="preserve">	</w:t>
      </w:r>
      <w:r>
        <w:rPr>
          <w:rFonts w:ascii="Arial" w:cs="Arial" w:eastAsia="Arial" w:hAnsi="Arial"/>
          <w:i/>
          <w:iCs/>
          <w:color w:val="999999"/>
          <w:sz w:val="20"/>
          <w:szCs w:val="20"/>
        </w:rPr>
        <w:t xml:space="preserve">Jun 2020 – Dec 2021</w:t>
      </w:r>
    </w:p>
    <w:p>
      <w:pPr>
        <w:spacing w:after="80" w:before="0"/>
      </w:pPr>
      <w:r>
        <w:rPr>
          <w:rFonts w:ascii="Arial" w:cs="Arial" w:eastAsia="Arial" w:hAnsi="Arial"/>
          <w:b/>
          <w:bCs/>
          <w:color w:val="2E75B6"/>
          <w:sz w:val="22"/>
          <w:szCs w:val="22"/>
        </w:rPr>
        <w:t xml:space="preserve">Juice Plus</w:t>
      </w:r>
      <w:r>
        <w:rPr>
          <w:rFonts w:ascii="Arial" w:cs="Arial" w:eastAsia="Arial" w:hAnsi="Arial"/>
          <w:color w:val="999999"/>
          <w:sz w:val="20"/>
          <w:szCs w:val="20"/>
        </w:rPr>
        <w:t xml:space="preserve">   ·   Memphis, TN</w:t>
      </w:r>
    </w:p>
    <w:p>
      <w:pPr>
        <w:spacing w:after="60" w:before="40"/>
      </w:pPr>
      <w:r>
        <w:rPr>
          <w:rFonts w:ascii="Arial" w:cs="Arial" w:eastAsia="Arial" w:hAnsi="Arial"/>
          <w:i/>
          <w:iCs/>
          <w:color w:val="666666"/>
          <w:sz w:val="20"/>
          <w:szCs w:val="20"/>
        </w:rPr>
        <w:t xml:space="preserve">Joined as a Junior Developer and was progressively given expanded scope and direct access to the director based on demonstrated ownership and technical judgment — culminating in architecture team placement.</w:t>
      </w:r>
    </w:p>
    <w:p>
      <w:pPr>
        <w:spacing w:after="30" w:before="140"/>
      </w:pPr>
      <w:r>
        <w:rPr>
          <w:rFonts w:ascii="Arial" w:cs="Arial" w:eastAsia="Arial" w:hAnsi="Arial"/>
          <w:b/>
          <w:bCs/>
          <w:color w:val="2E75B6"/>
          <w:spacing w:val="30"/>
          <w:sz w:val="18"/>
          <w:szCs w:val="18"/>
        </w:rPr>
        <w:t xml:space="preserve">ETL OWNERSHIP</w:t>
      </w:r>
    </w:p>
    <w:p>
      <w:pPr>
        <w:pStyle w:val="ListParagraph"/>
        <w:numPr>
          <w:ilvl w:val="0"/>
          <w:numId w:val="2"/>
        </w:numPr>
        <w:spacing w:after="40" w:before="40"/>
      </w:pPr>
      <w:r>
        <w:rPr>
          <w:rFonts w:ascii="Arial" w:cs="Arial" w:eastAsia="Arial" w:hAnsi="Arial"/>
          <w:color w:val="444444"/>
          <w:sz w:val="20"/>
          <w:szCs w:val="20"/>
        </w:rPr>
        <w:t xml:space="preserve">Inherited a business-critical Java ETL pipeline with no documentation and no knowledge transfer — learned the system entirely from the code and supported it through full ownership</w:t>
      </w:r>
    </w:p>
    <w:p>
      <w:pPr>
        <w:pStyle w:val="ListParagraph"/>
        <w:numPr>
          <w:ilvl w:val="0"/>
          <w:numId w:val="2"/>
        </w:numPr>
        <w:spacing w:after="40" w:before="40"/>
      </w:pPr>
      <w:r>
        <w:rPr>
          <w:rFonts w:ascii="Arial" w:cs="Arial" w:eastAsia="Arial" w:hAnsi="Arial"/>
          <w:color w:val="444444"/>
          <w:sz w:val="20"/>
          <w:szCs w:val="20"/>
        </w:rPr>
        <w:t xml:space="preserve">Maintained differential sync architecture processing hourly, daily, and full weekly data sets from UniVerse-generated index dumps into Microsoft SQL Server — sustaining MLM sales accreditation data integrity across downstream/upstream hierarchies</w:t>
      </w:r>
    </w:p>
    <w:p>
      <w:pPr>
        <w:pStyle w:val="ListParagraph"/>
        <w:numPr>
          <w:ilvl w:val="0"/>
          <w:numId w:val="2"/>
        </w:numPr>
        <w:spacing w:after="40" w:before="40"/>
      </w:pPr>
      <w:r>
        <w:rPr>
          <w:rFonts w:ascii="Arial" w:cs="Arial" w:eastAsia="Arial" w:hAnsi="Arial"/>
          <w:color w:val="444444"/>
          <w:sz w:val="20"/>
          <w:szCs w:val="20"/>
        </w:rPr>
        <w:t xml:space="preserve">Diagnosed every production failure as a data integrity issue rather than an application failure — building enough system understanding to distinguish the two confidently without documentation or prior context</w:t>
      </w:r>
    </w:p>
    <w:p>
      <w:pPr>
        <w:pStyle w:val="ListParagraph"/>
        <w:numPr>
          <w:ilvl w:val="0"/>
          <w:numId w:val="2"/>
        </w:numPr>
        <w:spacing w:after="40" w:before="40"/>
      </w:pPr>
      <w:r>
        <w:rPr>
          <w:rFonts w:ascii="Arial" w:cs="Arial" w:eastAsia="Arial" w:hAnsi="Arial"/>
          <w:color w:val="444444"/>
          <w:sz w:val="20"/>
          <w:szCs w:val="20"/>
        </w:rPr>
        <w:t xml:space="preserve">Collaborated closely with DBAs across both UniVerse and SQL Server to understand data contracts at the boundary between legacy and modern systems</w:t>
      </w:r>
    </w:p>
    <w:p>
      <w:pPr>
        <w:pStyle w:val="ListParagraph"/>
        <w:numPr>
          <w:ilvl w:val="0"/>
          <w:numId w:val="2"/>
        </w:numPr>
        <w:spacing w:after="40" w:before="40"/>
      </w:pPr>
      <w:r>
        <w:rPr>
          <w:rFonts w:ascii="Arial" w:cs="Arial" w:eastAsia="Arial" w:hAnsi="Arial"/>
          <w:color w:val="444444"/>
          <w:sz w:val="20"/>
          <w:szCs w:val="20"/>
        </w:rPr>
        <w:t xml:space="preserve">Produced thorough handoff documentation on departure — deliberately breaking the undocumented inheritance cycle that had complicated the role on arrival</w:t>
      </w:r>
    </w:p>
    <w:p>
      <w:pPr>
        <w:spacing w:after="30" w:before="140"/>
      </w:pPr>
      <w:r>
        <w:rPr>
          <w:rFonts w:ascii="Arial" w:cs="Arial" w:eastAsia="Arial" w:hAnsi="Arial"/>
          <w:b/>
          <w:bCs/>
          <w:color w:val="2E75B6"/>
          <w:spacing w:val="30"/>
          <w:sz w:val="18"/>
          <w:szCs w:val="18"/>
        </w:rPr>
        <w:t xml:space="preserve">SPECIAL PROJECTS &amp; ARCHITECTURE</w:t>
      </w:r>
    </w:p>
    <w:p>
      <w:pPr>
        <w:pStyle w:val="ListParagraph"/>
        <w:numPr>
          <w:ilvl w:val="0"/>
          <w:numId w:val="2"/>
        </w:numPr>
        <w:spacing w:after="40" w:before="40"/>
      </w:pPr>
      <w:r>
        <w:rPr>
          <w:rFonts w:ascii="Arial" w:cs="Arial" w:eastAsia="Arial" w:hAnsi="Arial"/>
          <w:color w:val="444444"/>
          <w:sz w:val="20"/>
          <w:szCs w:val="20"/>
        </w:rPr>
        <w:t xml:space="preserve">Identified by incoming director as most senior engineer — recognized specifically for the habit of redirecting urgent issue discussions away from blame and toward resolution without any authority to do so</w:t>
      </w:r>
    </w:p>
    <w:p>
      <w:pPr>
        <w:pStyle w:val="ListParagraph"/>
        <w:numPr>
          <w:ilvl w:val="0"/>
          <w:numId w:val="2"/>
        </w:numPr>
        <w:spacing w:after="40" w:before="40"/>
      </w:pPr>
      <w:r>
        <w:rPr>
          <w:rFonts w:ascii="Arial" w:cs="Arial" w:eastAsia="Arial" w:hAnsi="Arial"/>
          <w:color w:val="444444"/>
          <w:sz w:val="20"/>
          <w:szCs w:val="20"/>
        </w:rPr>
        <w:t xml:space="preserve">Evaluated Go for enterprise adoption — recommended against it despite strong technical fit, advising that organizational absorption cost and impact on a team with 25-year tenured engineers outweighed the technical benefits</w:t>
      </w:r>
    </w:p>
    <w:p>
      <w:pPr>
        <w:pStyle w:val="ListParagraph"/>
        <w:numPr>
          <w:ilvl w:val="0"/>
          <w:numId w:val="2"/>
        </w:numPr>
        <w:spacing w:after="40" w:before="40"/>
      </w:pPr>
      <w:r>
        <w:rPr>
          <w:rFonts w:ascii="Arial" w:cs="Arial" w:eastAsia="Arial" w:hAnsi="Arial"/>
          <w:color w:val="444444"/>
          <w:sz w:val="20"/>
          <w:szCs w:val="20"/>
        </w:rPr>
        <w:t xml:space="preserve">Built a unified API layer consolidating five databases into a single entity structure using Hapi.js and Prisma ORM — including custom tooling to enable multi-database introspection with separate output directories, working around a native limitation in Prisma</w:t>
      </w:r>
    </w:p>
    <w:p>
      <w:pPr>
        <w:pStyle w:val="ListParagraph"/>
        <w:numPr>
          <w:ilvl w:val="0"/>
          <w:numId w:val="2"/>
        </w:numPr>
        <w:spacing w:after="40" w:before="40"/>
      </w:pPr>
      <w:r>
        <w:rPr>
          <w:rFonts w:ascii="Arial" w:cs="Arial" w:eastAsia="Arial" w:hAnsi="Arial"/>
          <w:color w:val="444444"/>
          <w:sz w:val="20"/>
          <w:szCs w:val="20"/>
        </w:rPr>
        <w:t xml:space="preserve">Collaborated with two engineers with 20+ years tenure each to debate data access patterns and produce OpenAPI specifications for next-generation platform applications</w:t>
      </w:r>
    </w:p>
    <w:p>
      <w:pPr>
        <w:pStyle w:val="ListParagraph"/>
        <w:numPr>
          <w:ilvl w:val="0"/>
          <w:numId w:val="2"/>
        </w:numPr>
        <w:spacing w:after="40" w:before="40"/>
      </w:pPr>
      <w:r>
        <w:rPr>
          <w:rFonts w:ascii="Arial" w:cs="Arial" w:eastAsia="Arial" w:hAnsi="Arial"/>
          <w:color w:val="444444"/>
          <w:sz w:val="20"/>
          <w:szCs w:val="20"/>
        </w:rPr>
        <w:t xml:space="preserve">Placed into the architecture group by the director to develop in the direction of technical leadership — based on demonstrated judgment across ownership, evaluation, and design work</w:t>
      </w:r>
    </w:p>
    <w:p>
      <w:pPr>
        <w:spacing w:after="60" w:before="80"/>
      </w:pPr>
      <w:r>
        <w:rPr>
          <w:rFonts w:ascii="Arial" w:cs="Arial" w:eastAsia="Arial" w:hAnsi="Arial"/>
          <w:b/>
          <w:bCs/>
          <w:color w:val="666666"/>
          <w:sz w:val="18"/>
          <w:szCs w:val="18"/>
        </w:rPr>
        <w:t xml:space="preserve">Stack: </w:t>
      </w:r>
      <w:r>
        <w:rPr>
          <w:rFonts w:ascii="Arial" w:cs="Arial" w:eastAsia="Arial" w:hAnsi="Arial"/>
          <w:i/>
          <w:iCs/>
          <w:color w:val="666666"/>
          <w:sz w:val="18"/>
          <w:szCs w:val="18"/>
        </w:rPr>
        <w:t xml:space="preserve">Java · TypeScript · Node.js · Hapi.js · Prisma · Go · SQL Server · Pick/UniVerse · OpenAPI</w:t>
      </w:r>
    </w:p>
    <w:p>
      <w:pPr>
        <w:spacing w:after="80" w:before="0"/>
      </w:pPr>
      <w:r>
        <w:rPr>
          <w:rFonts w:ascii="Arial" w:cs="Arial" w:eastAsia="Arial" w:hAnsi="Arial"/>
          <w:color w:val="444444"/>
          <w:sz w:val="20"/>
          <w:szCs w:val="20"/>
        </w:rPr>
        <w:t xml:space="preserve"/>
      </w:r>
    </w:p>
    <w:p>
      <w:pPr>
        <w:tabs>
          <w:tab w:val="right" w:pos="9360"/>
        </w:tabs>
        <w:spacing w:after="20" w:before="200"/>
      </w:pPr>
      <w:r>
        <w:rPr>
          <w:rFonts w:ascii="Arial" w:cs="Arial" w:eastAsia="Arial" w:hAnsi="Arial"/>
          <w:b/>
          <w:bCs/>
          <w:color w:val="1E3A5F"/>
          <w:sz w:val="24"/>
          <w:szCs w:val="24"/>
        </w:rPr>
        <w:t xml:space="preserve">Software Engineer</w:t>
      </w:r>
      <w:r>
        <w:rPr>
          <w:rFonts w:ascii="Arial" w:cs="Arial" w:eastAsia="Arial" w:hAnsi="Arial"/>
        </w:rPr>
        <w:t xml:space="preserve">	</w:t>
      </w:r>
      <w:r>
        <w:rPr>
          <w:rFonts w:ascii="Arial" w:cs="Arial" w:eastAsia="Arial" w:hAnsi="Arial"/>
          <w:i/>
          <w:iCs/>
          <w:color w:val="999999"/>
          <w:sz w:val="20"/>
          <w:szCs w:val="20"/>
        </w:rPr>
        <w:t xml:space="preserve">Sep 2014 – May 2020</w:t>
      </w:r>
    </w:p>
    <w:p>
      <w:pPr>
        <w:spacing w:after="80" w:before="0"/>
      </w:pPr>
      <w:r>
        <w:rPr>
          <w:rFonts w:ascii="Arial" w:cs="Arial" w:eastAsia="Arial" w:hAnsi="Arial"/>
          <w:b/>
          <w:bCs/>
          <w:color w:val="2E75B6"/>
          <w:sz w:val="22"/>
          <w:szCs w:val="22"/>
        </w:rPr>
        <w:t xml:space="preserve">Atos | Syntel  (client: FedEx)</w:t>
      </w:r>
      <w:r>
        <w:rPr>
          <w:rFonts w:ascii="Arial" w:cs="Arial" w:eastAsia="Arial" w:hAnsi="Arial"/>
          <w:color w:val="999999"/>
          <w:sz w:val="20"/>
          <w:szCs w:val="20"/>
        </w:rPr>
        <w:t xml:space="preserve">   ·   Memphis, TN</w:t>
      </w:r>
    </w:p>
    <w:p>
      <w:pPr>
        <w:spacing w:after="60" w:before="40"/>
      </w:pPr>
      <w:r>
        <w:rPr>
          <w:rFonts w:ascii="Arial" w:cs="Arial" w:eastAsia="Arial" w:hAnsi="Arial"/>
          <w:i/>
          <w:iCs/>
          <w:color w:val="666666"/>
          <w:sz w:val="20"/>
          <w:szCs w:val="20"/>
        </w:rPr>
        <w:t xml:space="preserve">Six years across three distinct engineering domains at FedEx — security systems, enterprise-scale distributed data infrastructure, and organizational hierarchy data with cloud migration.</w:t>
      </w:r>
    </w:p>
    <w:p>
      <w:pPr>
        <w:spacing w:after="30" w:before="140"/>
      </w:pPr>
      <w:r>
        <w:rPr>
          <w:rFonts w:ascii="Arial" w:cs="Arial" w:eastAsia="Arial" w:hAnsi="Arial"/>
          <w:b/>
          <w:bCs/>
          <w:color w:val="2E75B6"/>
          <w:spacing w:val="30"/>
          <w:sz w:val="18"/>
          <w:szCs w:val="18"/>
        </w:rPr>
        <w:t xml:space="preserve">ANTI-FRAUD PLATFORM  ·  2014–2015</w:t>
      </w:r>
    </w:p>
    <w:p>
      <w:pPr>
        <w:pStyle w:val="ListParagraph"/>
        <w:numPr>
          <w:ilvl w:val="0"/>
          <w:numId w:val="2"/>
        </w:numPr>
        <w:spacing w:after="40" w:before="40"/>
      </w:pPr>
      <w:r>
        <w:rPr>
          <w:rFonts w:ascii="Arial" w:cs="Arial" w:eastAsia="Arial" w:hAnsi="Arial"/>
          <w:color w:val="444444"/>
          <w:sz w:val="20"/>
          <w:szCs w:val="20"/>
        </w:rPr>
        <w:t xml:space="preserve">Built a fraud detection application for the FedEx security team implementing black/gray list logic across users, email domains, and geographic locations with known fraudulent activity patterns</w:t>
      </w:r>
    </w:p>
    <w:p>
      <w:pPr>
        <w:pStyle w:val="ListParagraph"/>
        <w:numPr>
          <w:ilvl w:val="0"/>
          <w:numId w:val="2"/>
        </w:numPr>
        <w:spacing w:after="40" w:before="40"/>
      </w:pPr>
      <w:r>
        <w:rPr>
          <w:rFonts w:ascii="Arial" w:cs="Arial" w:eastAsia="Arial" w:hAnsi="Arial"/>
          <w:color w:val="444444"/>
          <w:sz w:val="20"/>
          <w:szCs w:val="20"/>
        </w:rPr>
        <w:t xml:space="preserve">Enabled the security team to maintain and act on a curated risk registry across multiple fraud signal types</w:t>
      </w:r>
    </w:p>
    <w:p>
      <w:pPr>
        <w:spacing w:after="30" w:before="140"/>
      </w:pPr>
      <w:r>
        <w:rPr>
          <w:rFonts w:ascii="Arial" w:cs="Arial" w:eastAsia="Arial" w:hAnsi="Arial"/>
          <w:b/>
          <w:bCs/>
          <w:color w:val="2E75B6"/>
          <w:spacing w:val="30"/>
          <w:sz w:val="18"/>
          <w:szCs w:val="18"/>
        </w:rPr>
        <w:t xml:space="preserve">COMMON DATA SERVICE (CDS)  ·  2015–2019</w:t>
      </w:r>
    </w:p>
    <w:p>
      <w:pPr>
        <w:pStyle w:val="ListParagraph"/>
        <w:numPr>
          <w:ilvl w:val="0"/>
          <w:numId w:val="2"/>
        </w:numPr>
        <w:spacing w:after="40" w:before="40"/>
      </w:pPr>
      <w:r>
        <w:rPr>
          <w:rFonts w:ascii="Arial" w:cs="Arial" w:eastAsia="Arial" w:hAnsi="Arial"/>
          <w:color w:val="444444"/>
          <w:sz w:val="20"/>
          <w:szCs w:val="20"/>
        </w:rPr>
        <w:t xml:space="preserve">Owned and operated CDS — a multi-tenant XML data platform deployed across two redundant data centers, each with tiered zone isolation: a dedicated 25 TB zone for a single enterprise customer storing large operational facility configurations, and a shared 5 TB zone serving all other clients</w:t>
      </w:r>
    </w:p>
    <w:p>
      <w:pPr>
        <w:pStyle w:val="ListParagraph"/>
        <w:numPr>
          <w:ilvl w:val="0"/>
          <w:numId w:val="2"/>
        </w:numPr>
        <w:spacing w:after="40" w:before="40"/>
      </w:pPr>
      <w:r>
        <w:rPr>
          <w:rFonts w:ascii="Arial" w:cs="Arial" w:eastAsia="Arial" w:hAnsi="Arial"/>
          <w:color w:val="444444"/>
          <w:sz w:val="20"/>
          <w:szCs w:val="20"/>
        </w:rPr>
        <w:t xml:space="preserve">Supported a broad client base across FedEx operating companies including FedEx Office (kiosk shipping data), Address EFS (GPS coordinates, truck parking locations, shipping instructions, drop-off locations), cloud infrastructure configuration teams, and numerous internal applications</w:t>
      </w:r>
    </w:p>
    <w:p>
      <w:pPr>
        <w:pStyle w:val="ListParagraph"/>
        <w:numPr>
          <w:ilvl w:val="0"/>
          <w:numId w:val="2"/>
        </w:numPr>
        <w:spacing w:after="40" w:before="40"/>
      </w:pPr>
      <w:r>
        <w:rPr>
          <w:rFonts w:ascii="Arial" w:cs="Arial" w:eastAsia="Arial" w:hAnsi="Arial"/>
          <w:color w:val="444444"/>
          <w:sz w:val="20"/>
          <w:szCs w:val="20"/>
        </w:rPr>
        <w:t xml:space="preserve">Enabled client applications to define and deploy their own XML schemas into the application server fleet — onboarding new clients and data models without changes to the core platform</w:t>
      </w:r>
    </w:p>
    <w:p>
      <w:pPr>
        <w:pStyle w:val="ListParagraph"/>
        <w:numPr>
          <w:ilvl w:val="0"/>
          <w:numId w:val="2"/>
        </w:numPr>
        <w:spacing w:after="40" w:before="40"/>
      </w:pPr>
      <w:r>
        <w:rPr>
          <w:rFonts w:ascii="Arial" w:cs="Arial" w:eastAsia="Arial" w:hAnsi="Arial"/>
          <w:color w:val="444444"/>
          <w:sz w:val="20"/>
          <w:szCs w:val="20"/>
        </w:rPr>
        <w:t xml:space="preserve">Managed a custom Bash-based build-once/deploy-many deployment pipeline guaranteeing a single verified code artifact across all test and production environments — executing parallel deployment processes across data center server clusters with manual failover sequencing and application start management</w:t>
      </w:r>
    </w:p>
    <w:p>
      <w:pPr>
        <w:pStyle w:val="ListParagraph"/>
        <w:numPr>
          <w:ilvl w:val="0"/>
          <w:numId w:val="2"/>
        </w:numPr>
        <w:spacing w:after="40" w:before="40"/>
      </w:pPr>
      <w:r>
        <w:rPr>
          <w:rFonts w:ascii="Arial" w:cs="Arial" w:eastAsia="Arial" w:hAnsi="Arial"/>
          <w:color w:val="444444"/>
          <w:sz w:val="20"/>
          <w:szCs w:val="20"/>
        </w:rPr>
        <w:t xml:space="preserve">Made operational calls for failover, deployment sequencing, and application restart across server lists — often breaking a single data center into multiple parallel deployment waves to maintain availability during high-volume transaction windows</w:t>
      </w:r>
    </w:p>
    <w:p>
      <w:pPr>
        <w:spacing w:after="30" w:before="140"/>
      </w:pPr>
      <w:r>
        <w:rPr>
          <w:rFonts w:ascii="Arial" w:cs="Arial" w:eastAsia="Arial" w:hAnsi="Arial"/>
          <w:b/>
          <w:bCs/>
          <w:color w:val="2E75B6"/>
          <w:spacing w:val="30"/>
          <w:sz w:val="18"/>
          <w:szCs w:val="18"/>
        </w:rPr>
        <w:t xml:space="preserve">HIERARCHY DATA &amp; CLOUD MIGRATION  ·  2019–2020</w:t>
      </w:r>
    </w:p>
    <w:p>
      <w:pPr>
        <w:pStyle w:val="ListParagraph"/>
        <w:numPr>
          <w:ilvl w:val="0"/>
          <w:numId w:val="2"/>
        </w:numPr>
        <w:spacing w:after="40" w:before="40"/>
      </w:pPr>
      <w:r>
        <w:rPr>
          <w:rFonts w:ascii="Arial" w:cs="Arial" w:eastAsia="Arial" w:hAnsi="Arial"/>
          <w:color w:val="444444"/>
          <w:sz w:val="20"/>
          <w:szCs w:val="20"/>
        </w:rPr>
        <w:t xml:space="preserve">Owned Jenkins pipeline infrastructure for 16 applications managing complex physical location and legal organizational hierarchy data sourced from Dunn &amp; Bradstreet</w:t>
      </w:r>
    </w:p>
    <w:p>
      <w:pPr>
        <w:pStyle w:val="ListParagraph"/>
        <w:numPr>
          <w:ilvl w:val="0"/>
          <w:numId w:val="2"/>
        </w:numPr>
        <w:spacing w:after="40" w:before="40"/>
      </w:pPr>
      <w:r>
        <w:rPr>
          <w:rFonts w:ascii="Arial" w:cs="Arial" w:eastAsia="Arial" w:hAnsi="Arial"/>
          <w:color w:val="444444"/>
          <w:sz w:val="20"/>
          <w:szCs w:val="20"/>
        </w:rPr>
        <w:t xml:space="preserve">Authored and maintained custom Jenkinsfile scripts through a data center VM → cloud platform migration — managing a dependency graph where half the applications shared logical objects versioned and published through an internal Maven repository</w:t>
      </w:r>
    </w:p>
    <w:p>
      <w:pPr>
        <w:pStyle w:val="ListParagraph"/>
        <w:numPr>
          <w:ilvl w:val="0"/>
          <w:numId w:val="2"/>
        </w:numPr>
        <w:spacing w:after="40" w:before="40"/>
      </w:pPr>
      <w:r>
        <w:rPr>
          <w:rFonts w:ascii="Arial" w:cs="Arial" w:eastAsia="Arial" w:hAnsi="Arial"/>
          <w:color w:val="444444"/>
          <w:sz w:val="20"/>
          <w:szCs w:val="20"/>
        </w:rPr>
        <w:t xml:space="preserve">Standardized build and deployment practices across the team portfolio; improved pipeline reliability and reduced manual intervention during releases</w:t>
      </w:r>
    </w:p>
    <w:p>
      <w:pPr>
        <w:pStyle w:val="ListParagraph"/>
        <w:numPr>
          <w:ilvl w:val="0"/>
          <w:numId w:val="2"/>
        </w:numPr>
        <w:spacing w:after="40" w:before="40"/>
      </w:pPr>
      <w:r>
        <w:rPr>
          <w:rFonts w:ascii="Arial" w:cs="Arial" w:eastAsia="Arial" w:hAnsi="Arial"/>
          <w:color w:val="444444"/>
          <w:sz w:val="20"/>
          <w:szCs w:val="20"/>
        </w:rPr>
        <w:t xml:space="preserve">Built an internal effort-tracking tool in Django for the Atos shared support team — enabling engineers to log time by project and giving administrators reporting breakdowns by time period, application, and contributor</w:t>
      </w:r>
    </w:p>
    <w:p>
      <w:pPr>
        <w:spacing w:after="60" w:before="80"/>
      </w:pPr>
      <w:r>
        <w:rPr>
          <w:rFonts w:ascii="Arial" w:cs="Arial" w:eastAsia="Arial" w:hAnsi="Arial"/>
          <w:b/>
          <w:bCs/>
          <w:color w:val="666666"/>
          <w:sz w:val="18"/>
          <w:szCs w:val="18"/>
        </w:rPr>
        <w:t xml:space="preserve">Stack: </w:t>
      </w:r>
      <w:r>
        <w:rPr>
          <w:rFonts w:ascii="Arial" w:cs="Arial" w:eastAsia="Arial" w:hAnsi="Arial"/>
          <w:i/>
          <w:iCs/>
          <w:color w:val="666666"/>
          <w:sz w:val="18"/>
          <w:szCs w:val="18"/>
        </w:rPr>
        <w:t xml:space="preserve">Java · Spring Boot · Oracle DB · Bash · Jenkins · Jenkinsfile · Maven · Django · Python · GitLab CI</w:t>
      </w:r>
    </w:p>
    <w:p>
      <w:pPr>
        <w:spacing w:after="80" w:before="0"/>
      </w:pPr>
      <w:r>
        <w:rPr>
          <w:rFonts w:ascii="Arial" w:cs="Arial" w:eastAsia="Arial" w:hAnsi="Arial"/>
          <w:color w:val="444444"/>
          <w:sz w:val="20"/>
          <w:szCs w:val="20"/>
        </w:rPr>
        <w:t xml:space="preserve"/>
      </w:r>
    </w:p>
    <w:p>
      <w:pPr>
        <w:tabs>
          <w:tab w:val="right" w:pos="9360"/>
        </w:tabs>
        <w:spacing w:after="20" w:before="200"/>
      </w:pPr>
      <w:r>
        <w:rPr>
          <w:rFonts w:ascii="Arial" w:cs="Arial" w:eastAsia="Arial" w:hAnsi="Arial"/>
          <w:b/>
          <w:bCs/>
          <w:color w:val="1E3A5F"/>
          <w:sz w:val="24"/>
          <w:szCs w:val="24"/>
        </w:rPr>
        <w:t xml:space="preserve">Community Director (Volunteer)</w:t>
      </w:r>
      <w:r>
        <w:rPr>
          <w:rFonts w:ascii="Arial" w:cs="Arial" w:eastAsia="Arial" w:hAnsi="Arial"/>
        </w:rPr>
        <w:t xml:space="preserve">	</w:t>
      </w:r>
      <w:r>
        <w:rPr>
          <w:rFonts w:ascii="Arial" w:cs="Arial" w:eastAsia="Arial" w:hAnsi="Arial"/>
          <w:i/>
          <w:iCs/>
          <w:color w:val="999999"/>
          <w:sz w:val="20"/>
          <w:szCs w:val="20"/>
        </w:rPr>
        <w:t xml:space="preserve">Apr 2019 – Present</w:t>
      </w:r>
    </w:p>
    <w:p>
      <w:pPr>
        <w:spacing w:after="80" w:before="0"/>
      </w:pPr>
      <w:r>
        <w:rPr>
          <w:rFonts w:ascii="Arial" w:cs="Arial" w:eastAsia="Arial" w:hAnsi="Arial"/>
          <w:b/>
          <w:bCs/>
          <w:color w:val="2E75B6"/>
          <w:sz w:val="22"/>
          <w:szCs w:val="22"/>
        </w:rPr>
        <w:t xml:space="preserve">Code Connector</w:t>
      </w:r>
      <w:r>
        <w:rPr>
          <w:rFonts w:ascii="Arial" w:cs="Arial" w:eastAsia="Arial" w:hAnsi="Arial"/>
          <w:color w:val="999999"/>
          <w:sz w:val="20"/>
          <w:szCs w:val="20"/>
        </w:rPr>
        <w:t xml:space="preserve">   ·   Memphis, TN</w:t>
      </w:r>
    </w:p>
    <w:p>
      <w:pPr>
        <w:pStyle w:val="ListParagraph"/>
        <w:numPr>
          <w:ilvl w:val="0"/>
          <w:numId w:val="2"/>
        </w:numPr>
        <w:spacing w:after="40" w:before="40"/>
      </w:pPr>
      <w:r>
        <w:rPr>
          <w:rFonts w:ascii="Arial" w:cs="Arial" w:eastAsia="Arial" w:hAnsi="Arial"/>
          <w:color w:val="444444"/>
          <w:sz w:val="20"/>
          <w:szCs w:val="20"/>
        </w:rPr>
        <w:t xml:space="preserve">Lead community direction and open-source efforts supporting developers entering the field from non-traditional backgrounds</w:t>
      </w:r>
    </w:p>
    <w:p>
      <w:pPr>
        <w:pStyle w:val="ListParagraph"/>
        <w:numPr>
          <w:ilvl w:val="0"/>
          <w:numId w:val="2"/>
        </w:numPr>
        <w:spacing w:after="40" w:before="40"/>
      </w:pPr>
      <w:r>
        <w:rPr>
          <w:rFonts w:ascii="Arial" w:cs="Arial" w:eastAsia="Arial" w:hAnsi="Arial"/>
          <w:color w:val="444444"/>
          <w:sz w:val="20"/>
          <w:szCs w:val="20"/>
        </w:rPr>
        <w:t xml:space="preserve">Mentor through ongoing 1:1 engagement on coding skills, career strategy, and professional advancement</w:t>
      </w:r>
    </w:p>
    <w:p>
      <w:pPr>
        <w:pBdr>
          <w:bottom w:val="single" w:color="2E75B6" w:sz="6" w:space="4"/>
        </w:pBdr>
        <w:spacing w:after="80" w:before="300"/>
      </w:pPr>
      <w:r>
        <w:rPr>
          <w:rFonts w:ascii="Arial" w:cs="Arial" w:eastAsia="Arial" w:hAnsi="Arial"/>
          <w:b/>
          <w:bCs/>
          <w:color w:val="1E3A5F"/>
          <w:spacing w:val="50"/>
          <w:sz w:val="22"/>
          <w:szCs w:val="22"/>
        </w:rPr>
        <w:t xml:space="preserve">TECHNICAL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60"/>
              <w:left w:type="dxa" w:w="0"/>
              <w:bottom w:type="dxa" w:w="60"/>
              <w:right w:type="dxa" w:w="140"/>
            </w:tcMar>
          </w:tcPr>
          <w:p>
            <w:r>
              <w:rPr>
                <w:rFonts w:ascii="Arial" w:cs="Arial" w:eastAsia="Arial" w:hAnsi="Arial"/>
                <w:b/>
                <w:bCs/>
                <w:color w:val="1E3A5F"/>
                <w:sz w:val="20"/>
                <w:szCs w:val="20"/>
              </w:rPr>
              <w:t xml:space="preserve">Languages</w:t>
            </w:r>
          </w:p>
        </w:tc>
        <w:tc>
          <w:tcPr>
            <w:tcW w:type="dxa" w:w="74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Java / Spring Boot, JavaScript (Vue 3, Nuxt.js, Node.js), TypeScript, Go, SQL, Python, Groovy, Bash</w:t>
            </w:r>
          </w:p>
        </w:tc>
      </w:tr>
      <w:tr>
        <w:tc>
          <w:tcPr>
            <w:tcW w:type="dxa" w:w="1900"/>
            <w:tcBorders>
              <w:top w:val="none" w:color="FFFFFF" w:sz="0"/>
              <w:left w:val="none" w:color="FFFFFF" w:sz="0"/>
              <w:bottom w:val="none" w:color="FFFFFF" w:sz="0"/>
              <w:right w:val="none" w:color="FFFFFF" w:sz="0"/>
            </w:tcBorders>
            <w:tcMar>
              <w:top w:type="dxa" w:w="60"/>
              <w:left w:type="dxa" w:w="0"/>
              <w:bottom w:type="dxa" w:w="60"/>
              <w:right w:type="dxa" w:w="140"/>
            </w:tcMar>
          </w:tcPr>
          <w:p>
            <w:r>
              <w:rPr>
                <w:rFonts w:ascii="Arial" w:cs="Arial" w:eastAsia="Arial" w:hAnsi="Arial"/>
                <w:b/>
                <w:bCs/>
                <w:color w:val="1E3A5F"/>
                <w:sz w:val="20"/>
                <w:szCs w:val="20"/>
              </w:rPr>
              <w:t xml:space="preserve">Cloud &amp; Infra</w:t>
            </w:r>
          </w:p>
        </w:tc>
        <w:tc>
          <w:tcPr>
            <w:tcW w:type="dxa" w:w="74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AWS (EC2, Elastic Beanstalk, Lambda, SQS, API Gateway, Aurora MySQL, RDS, CloudWatch), Docker, Jenkins</w:t>
            </w:r>
          </w:p>
        </w:tc>
      </w:tr>
      <w:tr>
        <w:tc>
          <w:tcPr>
            <w:tcW w:type="dxa" w:w="1900"/>
            <w:tcBorders>
              <w:top w:val="none" w:color="FFFFFF" w:sz="0"/>
              <w:left w:val="none" w:color="FFFFFF" w:sz="0"/>
              <w:bottom w:val="none" w:color="FFFFFF" w:sz="0"/>
              <w:right w:val="none" w:color="FFFFFF" w:sz="0"/>
            </w:tcBorders>
            <w:tcMar>
              <w:top w:type="dxa" w:w="60"/>
              <w:left w:type="dxa" w:w="0"/>
              <w:bottom w:type="dxa" w:w="60"/>
              <w:right w:type="dxa" w:w="140"/>
            </w:tcMar>
          </w:tcPr>
          <w:p>
            <w:r>
              <w:rPr>
                <w:rFonts w:ascii="Arial" w:cs="Arial" w:eastAsia="Arial" w:hAnsi="Arial"/>
                <w:b/>
                <w:bCs/>
                <w:color w:val="1E3A5F"/>
                <w:sz w:val="20"/>
                <w:szCs w:val="20"/>
              </w:rPr>
              <w:t xml:space="preserve">Databases</w:t>
            </w:r>
          </w:p>
        </w:tc>
        <w:tc>
          <w:tcPr>
            <w:tcW w:type="dxa" w:w="74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Aurora MySQL, Oracle DB, Microsoft SQL Server, Datastax / Cassandra, Rocket UniVerse (Pick)</w:t>
            </w:r>
          </w:p>
        </w:tc>
      </w:tr>
      <w:tr>
        <w:tc>
          <w:tcPr>
            <w:tcW w:type="dxa" w:w="1900"/>
            <w:tcBorders>
              <w:top w:val="none" w:color="FFFFFF" w:sz="0"/>
              <w:left w:val="none" w:color="FFFFFF" w:sz="0"/>
              <w:bottom w:val="none" w:color="FFFFFF" w:sz="0"/>
              <w:right w:val="none" w:color="FFFFFF" w:sz="0"/>
            </w:tcBorders>
            <w:tcMar>
              <w:top w:type="dxa" w:w="60"/>
              <w:left w:type="dxa" w:w="0"/>
              <w:bottom w:type="dxa" w:w="60"/>
              <w:right w:type="dxa" w:w="140"/>
            </w:tcMar>
          </w:tcPr>
          <w:p>
            <w:r>
              <w:rPr>
                <w:rFonts w:ascii="Arial" w:cs="Arial" w:eastAsia="Arial" w:hAnsi="Arial"/>
                <w:b/>
                <w:bCs/>
                <w:color w:val="1E3A5F"/>
                <w:sz w:val="20"/>
                <w:szCs w:val="20"/>
              </w:rPr>
              <w:t xml:space="preserve">DevOps</w:t>
            </w:r>
          </w:p>
        </w:tc>
        <w:tc>
          <w:tcPr>
            <w:tcW w:type="dxa" w:w="74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Git, GitHub, GitLab, Gradle, Maven, NPM, Jenkins, Bamboo, TravisCI, Nexus</w:t>
            </w:r>
          </w:p>
        </w:tc>
      </w:tr>
      <w:tr>
        <w:tc>
          <w:tcPr>
            <w:tcW w:type="dxa" w:w="1900"/>
            <w:tcBorders>
              <w:top w:val="none" w:color="FFFFFF" w:sz="0"/>
              <w:left w:val="none" w:color="FFFFFF" w:sz="0"/>
              <w:bottom w:val="none" w:color="FFFFFF" w:sz="0"/>
              <w:right w:val="none" w:color="FFFFFF" w:sz="0"/>
            </w:tcBorders>
            <w:tcMar>
              <w:top w:type="dxa" w:w="60"/>
              <w:left w:type="dxa" w:w="0"/>
              <w:bottom w:type="dxa" w:w="60"/>
              <w:right w:type="dxa" w:w="140"/>
            </w:tcMar>
          </w:tcPr>
          <w:p>
            <w:r>
              <w:rPr>
                <w:rFonts w:ascii="Arial" w:cs="Arial" w:eastAsia="Arial" w:hAnsi="Arial"/>
                <w:b/>
                <w:bCs/>
                <w:color w:val="1E3A5F"/>
                <w:sz w:val="20"/>
                <w:szCs w:val="20"/>
              </w:rPr>
              <w:t xml:space="preserve">Practices</w:t>
            </w:r>
          </w:p>
        </w:tc>
        <w:tc>
          <w:tcPr>
            <w:tcW w:type="dxa" w:w="74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System Architecture, Performance Optimization, CI/CD, Technical Mentorship, Sustainable Engineering Culture, Cross-functional Leadership</w:t>
            </w:r>
          </w:p>
        </w:tc>
      </w:tr>
    </w:tbl>
    <w:p>
      <w:pPr>
        <w:pBdr>
          <w:bottom w:val="single" w:color="2E75B6" w:sz="6" w:space="4"/>
        </w:pBdr>
        <w:spacing w:after="80" w:before="300"/>
      </w:pPr>
      <w:r>
        <w:rPr>
          <w:rFonts w:ascii="Arial" w:cs="Arial" w:eastAsia="Arial" w:hAnsi="Arial"/>
          <w:b/>
          <w:bCs/>
          <w:color w:val="1E3A5F"/>
          <w:spacing w:val="50"/>
          <w:sz w:val="22"/>
          <w:szCs w:val="22"/>
        </w:rPr>
        <w:t xml:space="preserve">EDUCATION</w:t>
      </w:r>
    </w:p>
    <w:p>
      <w:pPr>
        <w:spacing w:after="30" w:before="100"/>
      </w:pPr>
      <w:r>
        <w:rPr>
          <w:rFonts w:ascii="Arial" w:cs="Arial" w:eastAsia="Arial" w:hAnsi="Arial"/>
          <w:b/>
          <w:bCs/>
          <w:color w:val="1E3A5F"/>
          <w:sz w:val="22"/>
          <w:szCs w:val="22"/>
        </w:rPr>
        <w:t xml:space="preserve">B.S. Computer Engineering</w:t>
      </w:r>
      <w:r>
        <w:rPr>
          <w:rFonts w:ascii="Arial" w:cs="Arial" w:eastAsia="Arial" w:hAnsi="Arial"/>
          <w:color w:val="2E75B6"/>
          <w:sz w:val="22"/>
          <w:szCs w:val="22"/>
        </w:rPr>
        <w:t xml:space="preserve">   ·   University of Memphis</w:t>
      </w:r>
      <w:r>
        <w:rPr>
          <w:rFonts w:ascii="Arial" w:cs="Arial" w:eastAsia="Arial" w:hAnsi="Arial"/>
          <w:i/>
          <w:iCs/>
          <w:color w:val="999999"/>
          <w:sz w:val="20"/>
          <w:szCs w:val="20"/>
        </w:rPr>
        <w:t xml:space="preserve">   ·   December 2013</w:t>
      </w:r>
    </w:p>
    <w:p>
      <w:pPr>
        <w:spacing w:after="0" w:before="0"/>
      </w:pPr>
      <w:r>
        <w:rPr>
          <w:rFonts w:ascii="Arial" w:cs="Arial" w:eastAsia="Arial" w:hAnsi="Arial"/>
          <w:color w:val="666666"/>
          <w:sz w:val="20"/>
          <w:szCs w:val="20"/>
        </w:rPr>
        <w:t xml:space="preserve">Software and hardware system design, microprocessors, assembly (MIPS, 68HC11), C, Java, Python, MATLAB. Mathematics: probability, statistics, calculus, differential equations.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96vml2spfx100ldzsiuh" Type="http://schemas.openxmlformats.org/officeDocument/2006/relationships/hyperlink" Target="mailto:Corey@McCarty.dev" TargetMode="External"/><Relationship Id="rIdjja_-xeyecqjor5pftv3v" Type="http://schemas.openxmlformats.org/officeDocument/2006/relationships/hyperlink" Target="https://coreydmccarty.dev" TargetMode="External"/><Relationship Id="rIdd1bls3of1i1qlmaw9ntva" Type="http://schemas.openxmlformats.org/officeDocument/2006/relationships/hyperlink" Target="https://linkedin.com/in/coreydmccart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2026-06-01T21:44:16.831Z</dcterms:created>
  <dcterms:modified xsi:type="dcterms:W3CDTF">2026-06-01T21:44:16.831Z</dcterms:modified>
</cp:coreProperties>
</file>

<file path=docProps/custom.xml><?xml version="1.0" encoding="utf-8"?>
<Properties xmlns="http://schemas.openxmlformats.org/officeDocument/2006/custom-properties" xmlns:vt="http://schemas.openxmlformats.org/officeDocument/2006/docPropsVTypes"/>
</file>