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media/rId27.png" ContentType="image/png"/>
  <Override PartName="/word/media/rId31.png" ContentType="image/png"/>
  <Override PartName="/word/media/rId39.png" ContentType="image/png"/>
  <Override PartName="/word/media/rId21.png" ContentType="image/png"/>
  <Override PartName="/word/media/rId24.png" ContentType="image/png"/>
  <Override PartName="/word/media/rId35.png" ContentType="image/png"/>
  <Override PartName="/word/header1.xml" ContentType="application/vnd.openxmlformats-officedocument.wordprocessingml.header+xml"/>
  <Override PartName="/word/media/image1.png" ContentType="image/png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ficha-mensual-imss---mayo-de-2026"/>
    <w:p>
      <w:pPr>
        <w:pStyle w:val="Ttulo1"/>
      </w:pPr>
      <w:r>
        <w:t xml:space="preserve">Ficha mensual IMSS - mayo de 2026</w:t>
      </w:r>
    </w:p>
    <w:bookmarkStart w:id="20" w:name="resumen"/>
    <w:p>
      <w:pPr>
        <w:pStyle w:val="Ttulo2"/>
      </w:pPr>
      <w:r>
        <w:t xml:space="preserve">Resumen</w:t>
      </w:r>
    </w:p>
    <w:p>
      <w:pPr>
        <w:numPr>
          <w:ilvl w:val="0"/>
          <w:numId w:val="1001"/>
        </w:numPr>
      </w:pPr>
      <w:r>
        <w:t xml:space="preserve">A mayo de 2026 hay</w:t>
      </w:r>
      <w:r>
        <w:t xml:space="preserve"> </w:t>
      </w:r>
      <w:r>
        <w:rPr>
          <w:b/>
          <w:bCs/>
        </w:rPr>
        <w:t xml:space="preserve">22,718,681</w:t>
      </w:r>
      <w:r>
        <w:t xml:space="preserve"> </w:t>
      </w:r>
      <w:r>
        <w:t xml:space="preserve">trabajadores asegurados ante el IMSS (el 13.2% son eventuales y el 86.8% son permanentes).</w:t>
      </w:r>
    </w:p>
    <w:p>
      <w:pPr>
        <w:numPr>
          <w:ilvl w:val="0"/>
          <w:numId w:val="1001"/>
        </w:numPr>
      </w:pPr>
      <w:r>
        <w:t xml:space="preserve">En mayo de 2026 se</w:t>
      </w:r>
      <w:r>
        <w:t xml:space="preserve"> </w:t>
      </w:r>
      <w:r>
        <w:rPr>
          <w:b/>
          <w:bCs/>
        </w:rPr>
        <w:t xml:space="preserve">perdieron</w:t>
      </w:r>
      <w:r>
        <w:t xml:space="preserve"> </w:t>
      </w:r>
      <w:r>
        <w:rPr>
          <w:b/>
          <w:bCs/>
        </w:rPr>
        <w:t xml:space="preserve">29,922</w:t>
      </w:r>
      <w:r>
        <w:t xml:space="preserve"> </w:t>
      </w:r>
      <w:r>
        <w:t xml:space="preserve">puestos de trabajo con respecto al mes anterior. Esto es un decremento del</w:t>
      </w:r>
      <w:r>
        <w:t xml:space="preserve"> </w:t>
      </w:r>
      <w:r>
        <w:rPr>
          <w:b/>
          <w:bCs/>
        </w:rPr>
        <w:t xml:space="preserve">0.1%</w:t>
      </w:r>
      <w:r>
        <w:t xml:space="preserve">, cifra menor al promedio histórico (</w:t>
      </w:r>
      <w:r>
        <w:rPr>
          <w:b/>
          <w:bCs/>
        </w:rPr>
        <w:t xml:space="preserve">0.0%</w:t>
      </w:r>
      <w:r>
        <w:t xml:space="preserve">) para este mes.</w:t>
      </w:r>
    </w:p>
    <w:p>
      <w:pPr>
        <w:numPr>
          <w:ilvl w:val="0"/>
          <w:numId w:val="1001"/>
        </w:numPr>
      </w:pPr>
      <w:r>
        <w:t xml:space="preserve">En mayo de 2026 se</w:t>
      </w:r>
      <w:r>
        <w:t xml:space="preserve"> </w:t>
      </w:r>
      <w:r>
        <w:rPr>
          <w:b/>
          <w:bCs/>
        </w:rPr>
        <w:t xml:space="preserve">generaron</w:t>
      </w:r>
      <w:r>
        <w:t xml:space="preserve"> </w:t>
      </w:r>
      <w:r>
        <w:rPr>
          <w:b/>
          <w:bCs/>
        </w:rPr>
        <w:t xml:space="preserve">346,637</w:t>
      </w:r>
      <w:r>
        <w:t xml:space="preserve"> </w:t>
      </w:r>
      <w:r>
        <w:t xml:space="preserve">puestos de trabajo con respecto al mismo mes del año anterior. Esto es un crecimiento del</w:t>
      </w:r>
      <w:r>
        <w:t xml:space="preserve"> </w:t>
      </w:r>
      <w:r>
        <w:rPr>
          <w:b/>
          <w:bCs/>
        </w:rPr>
        <w:t xml:space="preserve">1.5%</w:t>
      </w:r>
      <w:r>
        <w:t xml:space="preserve">, cifra menor al promedio histórico (</w:t>
      </w:r>
      <w:r>
        <w:rPr>
          <w:b/>
          <w:bCs/>
        </w:rPr>
        <w:t xml:space="preserve">2.7%</w:t>
      </w:r>
      <w:r>
        <w:t xml:space="preserve">) para este mes.</w:t>
      </w:r>
    </w:p>
    <w:p>
      <w:pPr>
        <w:numPr>
          <w:ilvl w:val="0"/>
          <w:numId w:val="1001"/>
        </w:numPr>
      </w:pPr>
      <w:r>
        <w:t xml:space="preserve">Las entidades con mayores tasas de crecimiento anual fueron (i) Hidalgo (19.2%); (ii) Estado de México (7.9%); (iii) Oaxaca (4.2%).</w:t>
      </w:r>
    </w:p>
    <w:bookmarkEnd w:id="20"/>
    <w:bookmarkStart w:id="30" w:name="trabajadores-asegurados-ante-el-imss"/>
    <w:p>
      <w:pPr>
        <w:pStyle w:val="Ttulo2"/>
      </w:pPr>
      <w:r>
        <w:t xml:space="preserve">Trabajadores Asegurados ante el IMSS</w:t>
      </w:r>
    </w:p>
    <w:p>
      <w:pPr>
        <w:pStyle w:val="FirstParagraph"/>
      </w:pPr>
      <w:r>
        <w:t xml:space="preserve">Durante mayo de 2026 se registraron</w:t>
      </w:r>
      <w:r>
        <w:t xml:space="preserve"> </w:t>
      </w:r>
      <w:r>
        <w:rPr>
          <w:b/>
          <w:bCs/>
        </w:rPr>
        <w:t xml:space="preserve">22,718,681</w:t>
      </w:r>
      <w:r>
        <w:t xml:space="preserve"> </w:t>
      </w:r>
      <w:r>
        <w:t xml:space="preserve">puestos de trabajo, lo que representó un disminución de</w:t>
      </w:r>
      <w:r>
        <w:t xml:space="preserve"> </w:t>
      </w:r>
      <w:r>
        <w:rPr>
          <w:b/>
          <w:bCs/>
        </w:rPr>
        <w:t xml:space="preserve">29,922</w:t>
      </w:r>
      <w:r>
        <w:t xml:space="preserve"> </w:t>
      </w:r>
      <w:r>
        <w:t xml:space="preserve">empleos respecto al mes anterior, equivalente a un decremento mensual de</w:t>
      </w:r>
      <w:r>
        <w:t xml:space="preserve"> </w:t>
      </w:r>
      <w:r>
        <w:rPr>
          <w:b/>
          <w:bCs/>
        </w:rPr>
        <w:t xml:space="preserve">0.1%</w:t>
      </w:r>
      <w:r>
        <w:t xml:space="preserve"> </w:t>
      </w:r>
      <w:r>
        <w:t xml:space="preserve">y con un crecimiento anual de</w:t>
      </w:r>
      <w:r>
        <w:t xml:space="preserve"> </w:t>
      </w:r>
      <w:r>
        <w:rPr>
          <w:b/>
          <w:bCs/>
        </w:rPr>
        <w:t xml:space="preserve">1.5%</w:t>
      </w:r>
      <w:r>
        <w:t xml:space="preserve"> </w:t>
      </w:r>
      <w:r>
        <w:t xml:space="preserve">respecto a mayo de 2025.</w:t>
      </w:r>
    </w:p>
    <w:p>
      <w:pPr>
        <w:pStyle w:val="CaptionedFigure"/>
      </w:pPr>
      <w:r>
        <w:drawing>
          <wp:inline>
            <wp:extent cx="6400800" cy="3200400"/>
            <wp:effectExtent b="0" l="0" r="0" t="0"/>
            <wp:docPr descr="Tasa de crecimiento anual de los trabajadores asegurados" title="" id="22" name="Picture"/>
            <a:graphic>
              <a:graphicData uri="http://schemas.openxmlformats.org/drawingml/2006/picture">
                <pic:pic>
                  <pic:nvPicPr>
                    <pic:cNvPr descr="plots_mensuales/tasa_anual_total_ta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Tasa de crecimiento anual de los trabajadores asegurados</w:t>
      </w:r>
    </w:p>
    <w:p>
      <w:pPr>
        <w:pStyle w:val="BodyText"/>
      </w:pPr>
      <w:r>
        <w:t xml:space="preserve">Por tipo de empleo, el trabajo</w:t>
      </w:r>
      <w:r>
        <w:t xml:space="preserve"> </w:t>
      </w:r>
      <w:r>
        <w:rPr>
          <w:b/>
          <w:bCs/>
        </w:rPr>
        <w:t xml:space="preserve">permanente</w:t>
      </w:r>
      <w:r>
        <w:t xml:space="preserve"> </w:t>
      </w:r>
      <w:r>
        <w:t xml:space="preserve">mostró una disminución mensual de</w:t>
      </w:r>
      <w:r>
        <w:t xml:space="preserve"> </w:t>
      </w:r>
      <w:r>
        <w:rPr>
          <w:b/>
          <w:bCs/>
        </w:rPr>
        <w:t xml:space="preserve">0.2%</w:t>
      </w:r>
      <w:r>
        <w:t xml:space="preserve"> </w:t>
      </w:r>
      <w:r>
        <w:t xml:space="preserve">y un crecimiento anual de</w:t>
      </w:r>
      <w:r>
        <w:t xml:space="preserve"> </w:t>
      </w:r>
      <w:r>
        <w:rPr>
          <w:b/>
          <w:bCs/>
        </w:rPr>
        <w:t xml:space="preserve">1.1%</w:t>
      </w:r>
      <w:r>
        <w:t xml:space="preserve">, mientras que el empleo</w:t>
      </w:r>
      <w:r>
        <w:t xml:space="preserve"> </w:t>
      </w:r>
      <w:r>
        <w:rPr>
          <w:b/>
          <w:bCs/>
        </w:rPr>
        <w:t xml:space="preserve">eventual</w:t>
      </w:r>
      <w:r>
        <w:t xml:space="preserve"> </w:t>
      </w:r>
      <w:r>
        <w:t xml:space="preserve">registró un aumento mensual de</w:t>
      </w:r>
      <w:r>
        <w:t xml:space="preserve"> </w:t>
      </w:r>
      <w:r>
        <w:rPr>
          <w:b/>
          <w:bCs/>
        </w:rPr>
        <w:t xml:space="preserve">0.1%</w:t>
      </w:r>
      <w:r>
        <w:t xml:space="preserve"> </w:t>
      </w:r>
      <w:r>
        <w:t xml:space="preserve">y una tasa anual de</w:t>
      </w:r>
      <w:r>
        <w:t xml:space="preserve"> </w:t>
      </w:r>
      <w:r>
        <w:rPr>
          <w:b/>
          <w:bCs/>
        </w:rPr>
        <w:t xml:space="preserve">4.4%</w:t>
      </w:r>
      <w:r>
        <w:t xml:space="preserve">.</w:t>
      </w:r>
    </w:p>
    <w:p>
      <w:pPr>
        <w:pStyle w:val="BodyText"/>
      </w:pPr>
      <w:r>
        <w:t xml:space="preserve">La distribución total por tipo de empleo fue la siguiente: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Permanentes:</w:t>
      </w:r>
      <w:r>
        <w:t xml:space="preserve"> </w:t>
      </w:r>
      <w:r>
        <w:t xml:space="preserve">19,730,767 (86.8%)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Eventuales:</w:t>
      </w:r>
      <w:r>
        <w:t xml:space="preserve"> </w:t>
      </w:r>
      <w:r>
        <w:t xml:space="preserve">2,987,914 (13.2%)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Trabajadores asegurados por tipo de empleo y sexo — mayo de 2026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24"/>
        <w:gridCol w:w="1512"/>
        <w:gridCol w:w="1511"/>
        <w:gridCol w:w="1389"/>
        <w:gridCol w:w="1512"/>
        <w:gridCol w:w="149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Tipo de empleo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% del 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Mujeres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Hombres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 binario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19,730,767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86.8%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8,200,748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11,529,952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N/D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Eventual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2,987,914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970,019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2,017,884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N/D</w:t>
            </w:r>
          </w:p>
        </w:tc>
      </w:tr>
      <w:tr>
        <w:trPr>
          <w:trHeight w:val="63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22,718,681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100.0%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9,170,767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13,547,836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N/D</w:t>
            </w:r>
          </w:p>
        </w:tc>
      </w:tr>
    </w:tbl>
    <w:p>
      <w:pPr>
        <w:pStyle w:val="CaptionedFigure"/>
      </w:pPr>
      <w:r>
        <w:drawing>
          <wp:inline>
            <wp:extent cx="6400800" cy="3200400"/>
            <wp:effectExtent b="0" l="0" r="0" t="0"/>
            <wp:docPr descr="Tasa de crecimiento anual de los trabajadores asegurados" title="" id="25" name="Picture"/>
            <a:graphic>
              <a:graphicData uri="http://schemas.openxmlformats.org/drawingml/2006/picture">
                <pic:pic>
                  <pic:nvPicPr>
                    <pic:cNvPr descr="plots_mensuales/tasa_anual_total_tp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Tasa de crecimiento anual de los trabajadores asegurados</w:t>
      </w:r>
    </w:p>
    <w:p>
      <w:pPr>
        <w:pStyle w:val="BodyText"/>
      </w:pPr>
      <w:r>
        <w:t xml:space="preserve">Durante el mes de mayo, se registró una generación de</w:t>
      </w:r>
      <w:r>
        <w:t xml:space="preserve"> </w:t>
      </w:r>
      <w:r>
        <w:rPr>
          <w:b/>
          <w:bCs/>
        </w:rPr>
        <w:t xml:space="preserve">201,605</w:t>
      </w:r>
      <w:r>
        <w:t xml:space="preserve"> </w:t>
      </w:r>
      <w:r>
        <w:t xml:space="preserve">nuevos puestos de trabajo durante 2026.</w:t>
      </w:r>
    </w:p>
    <w:p>
      <w:pPr>
        <w:pStyle w:val="BodyText"/>
      </w:pPr>
      <w:r>
        <w:rPr>
          <w:b/>
          <w:bCs/>
        </w:rPr>
        <w:t xml:space="preserve">Comparación interanual:</w:t>
      </w:r>
      <w:r>
        <w:t xml:space="preserve"> </w:t>
      </w:r>
      <w:r>
        <w:t xml:space="preserve">en mayo de 2026, se registraron</w:t>
      </w:r>
      <w:r>
        <w:t xml:space="preserve"> </w:t>
      </w:r>
      <w:r>
        <w:rPr>
          <w:b/>
          <w:bCs/>
        </w:rPr>
        <w:t xml:space="preserve">346,637</w:t>
      </w:r>
      <w:r>
        <w:t xml:space="preserve"> </w:t>
      </w:r>
      <w:r>
        <w:t xml:space="preserve">empleos adicionales en comparación con mayo de 2025.</w:t>
      </w:r>
    </w:p>
    <w:p>
      <w:pPr>
        <w:pStyle w:val="CaptionedFigure"/>
      </w:pPr>
      <w:r>
        <w:drawing>
          <wp:inline>
            <wp:extent cx="5983489" cy="3221879"/>
            <wp:effectExtent b="0" l="0" r="0" t="0"/>
            <wp:docPr descr="Variación anual del empleo asegurado" title="" id="28" name="Picture"/>
            <a:graphic>
              <a:graphicData uri="http://schemas.openxmlformats.org/drawingml/2006/picture">
                <pic:pic>
                  <pic:nvPicPr>
                    <pic:cNvPr descr="Ficha-mensual_files/figure-docx/plot-tasa-anual-barras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489" cy="3221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Variación anual del empleo asegurado</w:t>
      </w:r>
    </w:p>
    <w:bookmarkEnd w:id="30"/>
    <w:bookmarkStart w:id="34" w:name="por-entidad-federativa"/>
    <w:p>
      <w:pPr>
        <w:pStyle w:val="Ttulo2"/>
      </w:pPr>
      <w:r>
        <w:t xml:space="preserve">Por entidad federativa</w:t>
      </w:r>
    </w:p>
    <w:p>
      <w:pPr>
        <w:pStyle w:val="FirstParagraph"/>
      </w:pPr>
      <w:r>
        <w:t xml:space="preserve">Las entidades con</w:t>
      </w:r>
      <w:r>
        <w:t xml:space="preserve"> </w:t>
      </w:r>
      <w:r>
        <w:rPr>
          <w:b/>
          <w:bCs/>
        </w:rPr>
        <w:t xml:space="preserve">mayor crecimiento anual</w:t>
      </w:r>
      <w:r>
        <w:t xml:space="preserve"> </w:t>
      </w:r>
      <w:r>
        <w:t xml:space="preserve">en el empleo asegurado fueron</w:t>
      </w:r>
      <w:r>
        <w:t xml:space="preserve"> </w:t>
      </w:r>
      <w:r>
        <w:rPr>
          <w:b/>
          <w:bCs/>
        </w:rPr>
        <w:t xml:space="preserve">Hidalgo</w:t>
      </w:r>
      <w:r>
        <w:t xml:space="preserve"> </w:t>
      </w:r>
      <w:r>
        <w:t xml:space="preserve">(19.2%),</w:t>
      </w:r>
      <w:r>
        <w:t xml:space="preserve"> </w:t>
      </w:r>
      <w:r>
        <w:rPr>
          <w:b/>
          <w:bCs/>
        </w:rPr>
        <w:t xml:space="preserve">Estado de México</w:t>
      </w:r>
      <w:r>
        <w:t xml:space="preserve"> </w:t>
      </w:r>
      <w:r>
        <w:t xml:space="preserve">(7.9%) y</w:t>
      </w:r>
      <w:r>
        <w:t xml:space="preserve"> </w:t>
      </w:r>
      <w:r>
        <w:rPr>
          <w:b/>
          <w:bCs/>
        </w:rPr>
        <w:t xml:space="preserve">Oaxaca</w:t>
      </w:r>
      <w:r>
        <w:t xml:space="preserve"> </w:t>
      </w:r>
      <w:r>
        <w:t xml:space="preserve">(4.2%).</w:t>
      </w:r>
    </w:p>
    <w:p>
      <w:pPr>
        <w:pStyle w:val="CaptionedFigure"/>
      </w:pPr>
      <w:r>
        <w:drawing>
          <wp:inline>
            <wp:extent cx="6400800" cy="4000500"/>
            <wp:effectExtent b="0" l="0" r="0" t="0"/>
            <wp:docPr descr="Tasa de crecimiento anual por entidad federativa" title="" id="32" name="Picture"/>
            <a:graphic>
              <a:graphicData uri="http://schemas.openxmlformats.org/drawingml/2006/picture">
                <pic:pic>
                  <pic:nvPicPr>
                    <pic:cNvPr descr="plots_mensuales/estado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Tasa de crecimiento anual por entidad federativa</w:t>
      </w:r>
    </w:p>
    <w:p>
      <w:pPr>
        <w:pStyle w:val="BodyText"/>
      </w:pPr>
      <w:r>
        <w:t xml:space="preserve">En contraste,</w:t>
      </w:r>
      <w:r>
        <w:t xml:space="preserve"> </w:t>
      </w:r>
      <w:r>
        <w:rPr>
          <w:b/>
          <w:bCs/>
        </w:rPr>
        <w:t xml:space="preserve">Zacatecas</w:t>
      </w:r>
      <w:r>
        <w:t xml:space="preserve"> </w:t>
      </w:r>
      <w:r>
        <w:t xml:space="preserve">registraron un crecimiento nulo (0.0%) en el número de trabajadores registrados ante el IMSS.</w:t>
      </w:r>
    </w:p>
    <w:p>
      <w:pPr>
        <w:pStyle w:val="BodyText"/>
      </w:pPr>
      <w:r>
        <w:t xml:space="preserve">Por otro lado, las mayores</w:t>
      </w:r>
      <w:r>
        <w:t xml:space="preserve"> </w:t>
      </w:r>
      <w:r>
        <w:rPr>
          <w:b/>
          <w:bCs/>
        </w:rPr>
        <w:t xml:space="preserve">disminuciones anuales</w:t>
      </w:r>
      <w:r>
        <w:t xml:space="preserve"> </w:t>
      </w:r>
      <w:r>
        <w:t xml:space="preserve">se observaron en: (i) Sinaloa (-2.4%); (ii) Tamaulipas (-2.2%); (iii) Morelos (-2.1%).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Trabajadores asegurados por entidad federativa — mayo de 2026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79"/>
        <w:gridCol w:w="3493"/>
        <w:gridCol w:w="1792"/>
        <w:gridCol w:w="186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Ranking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Entidad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Var. anual (%)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Hidalgo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345,080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19.2%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Estado de México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2,065,623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7.9%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Oaxaca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241,072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4.2%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Durango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266,668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3.0%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Ciudad de México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3,574,593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2.7%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Jalisco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2,078,086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1.6%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Nuevo León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1,973,161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1.6%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Tabasco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206,346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1.4%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Campeche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129,894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1.3%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California Sur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227,223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1.3%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Querétaro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723,354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1.2%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Colima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157,736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0.8%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California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1,027,677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0.6%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Nayarit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182,957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0.6%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Guanajuato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1,129,420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0.6%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San Luis Potosí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484,061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0.4%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Veracruz de Ignacio de la Llave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772,506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0.3%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Quintana 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527,592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0.2%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Puebla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661,421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0.1%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Zacatecas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189,936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0.0%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Michoacán de Ocampo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492,479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-0.1%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Guerrero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159,291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-0.4%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Chihuahua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963,631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-0.6%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Tlaxcala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117,128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-0.7%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Sonora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651,423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-0.7%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Yucatán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434,577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-0.8%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Aguascalientes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363,342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-0.8%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Chiapas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259,239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-1.0%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Coahuila de Zaragoza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848,359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-1.9%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Morelos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215,454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-2.1%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Tamaulipas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679,131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-2.2%</w:t>
            </w:r>
          </w:p>
        </w:tc>
      </w:tr>
      <w:tr>
        <w:trPr>
          <w:trHeight w:val="63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Sinaloa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570,221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-2.4%</w:t>
            </w:r>
          </w:p>
        </w:tc>
      </w:tr>
    </w:tbl>
    <w:bookmarkEnd w:id="34"/>
    <w:bookmarkStart w:id="38" w:name="por-sector-económico"/>
    <w:p>
      <w:pPr>
        <w:pStyle w:val="Ttulo2"/>
      </w:pPr>
      <w:r>
        <w:t xml:space="preserve">Por sector económico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Trabajadores asegurados y SBC por sector económico — mayo de 2026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073"/>
        <w:gridCol w:w="1792"/>
        <w:gridCol w:w="1511"/>
        <w:gridCol w:w="193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% del 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SBC promedio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Industrias de la transformación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5,920,138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26.1%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$721.99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Servicios para empresas, personas y el hogar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4,948,248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$680.35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Comercio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4,844,619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$605.33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Servicios sociales y comunales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2,463,254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$770.04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Transportes y comunicaciones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1,795,673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$673.23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Industria de la construcción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1,759,664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$504.33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Agricultura, ganadería, silvicultura, pesca y caza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697,252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$484.89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Industria eléctrica, captación y suministro de agua potable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161,463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$1,282.07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Industrias extractivas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128,370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$989.39</w:t>
            </w:r>
          </w:p>
        </w:tc>
      </w:tr>
      <w:tr>
        <w:trPr>
          <w:trHeight w:val="63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dato (sector)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FirstParagraph"/>
      </w:pPr>
      <w:r>
        <w:t xml:space="preserve">Por tipo de sector, los que presentaron</w:t>
      </w:r>
      <w:r>
        <w:t xml:space="preserve"> </w:t>
      </w:r>
      <w:r>
        <w:rPr>
          <w:b/>
          <w:bCs/>
        </w:rPr>
        <w:t xml:space="preserve">mayor aumento anual</w:t>
      </w:r>
      <w:r>
        <w:t xml:space="preserve"> </w:t>
      </w:r>
      <w:r>
        <w:t xml:space="preserve">en puestos de trabajo fueron Industrias de la transformación (26.1%), Servicios para empresas, personas y el hogar (21.8%) y Comercio (21.3%).</w:t>
      </w:r>
    </w:p>
    <w:p>
      <w:pPr>
        <w:pStyle w:val="CaptionedFigure"/>
      </w:pPr>
      <w:r>
        <w:drawing>
          <wp:inline>
            <wp:extent cx="4587290" cy="2752374"/>
            <wp:effectExtent b="0" l="0" r="0" t="0"/>
            <wp:docPr descr="Composición del empleo formal por sector" title="" id="36" name="Picture"/>
            <a:graphic>
              <a:graphicData uri="http://schemas.openxmlformats.org/drawingml/2006/picture">
                <pic:pic>
                  <pic:nvPicPr>
                    <pic:cNvPr descr="plots_mensuales/treemap_sector_nacional_20260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90" cy="2752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Composición del empleo formal por sector</w:t>
      </w:r>
    </w:p>
    <w:p>
      <w:pPr>
        <w:pStyle w:val="BodyText"/>
      </w:pPr>
      <w:r>
        <w:t xml:space="preserve">Al interior de los sectores económicos, el sector de</w:t>
      </w:r>
      <w:r>
        <w:t xml:space="preserve"> </w:t>
      </w:r>
      <w:r>
        <w:rPr>
          <w:b/>
          <w:bCs/>
        </w:rPr>
        <w:t xml:space="preserve">Industrias de la transformación</w:t>
      </w:r>
      <w:r>
        <w:t xml:space="preserve"> </w:t>
      </w:r>
      <w:r>
        <w:t xml:space="preserve">concentró en mayo de 2026 el</w:t>
      </w:r>
      <w:r>
        <w:t xml:space="preserve"> </w:t>
      </w:r>
      <w:r>
        <w:rPr>
          <w:b/>
          <w:bCs/>
        </w:rPr>
        <w:t xml:space="preserve">26.1%</w:t>
      </w:r>
      <w:r>
        <w:t xml:space="preserve"> </w:t>
      </w:r>
      <w:r>
        <w:t xml:space="preserve">del empleo total, seguido de</w:t>
      </w:r>
      <w:r>
        <w:t xml:space="preserve"> </w:t>
      </w:r>
      <w:r>
        <w:rPr>
          <w:b/>
          <w:bCs/>
        </w:rPr>
        <w:t xml:space="preserve">Servicios para empresas, personas y el hogar</w:t>
      </w:r>
      <w:r>
        <w:t xml:space="preserve"> </w:t>
      </w:r>
      <w:r>
        <w:t xml:space="preserve">(21.8%) y</w:t>
      </w:r>
      <w:r>
        <w:t xml:space="preserve"> </w:t>
      </w:r>
      <w:r>
        <w:rPr>
          <w:b/>
          <w:bCs/>
        </w:rPr>
        <w:t xml:space="preserve">Comercio</w:t>
      </w:r>
      <w:r>
        <w:t xml:space="preserve"> </w:t>
      </w:r>
      <w:r>
        <w:t xml:space="preserve">(21.3%). En conjunto, estos tres sectores agrupan aproximadamente el</w:t>
      </w:r>
      <w:r>
        <w:t xml:space="preserve"> </w:t>
      </w:r>
      <w:r>
        <w:rPr>
          <w:b/>
          <w:bCs/>
        </w:rPr>
        <w:t xml:space="preserve">69.2%</w:t>
      </w:r>
      <w:r>
        <w:t xml:space="preserve"> </w:t>
      </w:r>
      <w:r>
        <w:t xml:space="preserve">del empleo formal en el país.</w:t>
      </w:r>
    </w:p>
    <w:bookmarkEnd w:id="38"/>
    <w:bookmarkStart w:id="42" w:name="patrones"/>
    <w:p>
      <w:pPr>
        <w:pStyle w:val="Ttulo2"/>
      </w:pPr>
      <w:r>
        <w:t xml:space="preserve">Patrones</w:t>
      </w:r>
    </w:p>
    <w:p>
      <w:pPr>
        <w:pStyle w:val="FirstParagraph"/>
      </w:pPr>
      <w:r>
        <w:t xml:space="preserve">En abril de 2026 se registraron</w:t>
      </w:r>
      <w:r>
        <w:t xml:space="preserve"> </w:t>
      </w:r>
      <w:r>
        <w:rPr>
          <w:b/>
          <w:bCs/>
        </w:rPr>
        <w:t xml:space="preserve">1,019,230</w:t>
      </w:r>
      <w:r>
        <w:t xml:space="preserve"> </w:t>
      </w:r>
      <w:r>
        <w:t xml:space="preserve">patrones, lo que representa una</w:t>
      </w:r>
      <w:r>
        <w:t xml:space="preserve"> </w:t>
      </w:r>
      <w:r>
        <w:rPr>
          <w:b/>
          <w:bCs/>
        </w:rPr>
        <w:t xml:space="preserve">disminución anual de 2.7%</w:t>
      </w:r>
      <w:r>
        <w:t xml:space="preserve">, cifra menor al promedio histórico (</w:t>
      </w:r>
      <w:r>
        <w:rPr>
          <w:b/>
          <w:bCs/>
        </w:rPr>
        <w:t xml:space="preserve">1.4%</w:t>
      </w:r>
      <w:r>
        <w:t xml:space="preserve">) para este mes.</w:t>
      </w:r>
    </w:p>
    <w:p>
      <w:pPr>
        <w:pStyle w:val="BodyText"/>
      </w:pPr>
      <w:r>
        <w:t xml:space="preserve">Desde noviembre de 2023, el número de patrones inscritos ha pasado de</w:t>
      </w:r>
      <w:r>
        <w:t xml:space="preserve"> </w:t>
      </w:r>
      <w:r>
        <w:rPr>
          <w:b/>
          <w:bCs/>
        </w:rPr>
        <w:t xml:space="preserve">1,077,883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1,019,230</w:t>
      </w:r>
      <w:r>
        <w:t xml:space="preserve">, lo que equivale a una reducción de</w:t>
      </w:r>
      <w:r>
        <w:t xml:space="preserve"> </w:t>
      </w:r>
      <w:r>
        <w:rPr>
          <w:b/>
          <w:bCs/>
        </w:rPr>
        <w:t xml:space="preserve">58,653</w:t>
      </w:r>
      <w:r>
        <w:t xml:space="preserve"> </w:t>
      </w:r>
      <w:r>
        <w:t xml:space="preserve">registros patronales.</w:t>
      </w:r>
    </w:p>
    <w:p>
      <w:pPr>
        <w:pStyle w:val="CaptionedFigure"/>
      </w:pPr>
      <w:r>
        <w:drawing>
          <wp:inline>
            <wp:extent cx="6400800" cy="3200400"/>
            <wp:effectExtent b="0" l="0" r="0" t="0"/>
            <wp:docPr descr="Patrones registrados" title="" id="40" name="Picture"/>
            <a:graphic>
              <a:graphicData uri="http://schemas.openxmlformats.org/drawingml/2006/picture">
                <pic:pic>
                  <pic:nvPicPr>
                    <pic:cNvPr descr="plots_mensuales/tasa_anual_total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Patrones registrados</w:t>
      </w:r>
    </w:p>
    <w:bookmarkEnd w:id="42"/>
    <w:bookmarkEnd w:id="43"/>
    <w:sectPr w:rsidR="0063665C" w:rsidSect="00A05DB6">
      <w:headerReference r:id="rId9" w:type="default"/>
      <w:pgSz w:h="15840" w:w="12240"/>
      <w:pgMar w:bottom="1440" w:footer="708" w:gutter="0" w:header="708" w:left="1080" w:right="108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cto Grotesk A">
    <w:altName w:val="Calibri"/>
    <w:panose1 w:val="020B0305030101010101"/>
    <w:charset w:val="00"/>
    <w:family w:val="swiss"/>
    <w:pitch w:val="variable"/>
    <w:sig w:usb0="A000002F" w:usb1="4000247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2F73B" w14:textId="77777777" w:rsidR="004B57C4" w:rsidRDefault="004B57C4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89D52DA" wp14:editId="46806BBB">
          <wp:simplePos x="0" y="0"/>
          <wp:positionH relativeFrom="column">
            <wp:posOffset>4763770</wp:posOffset>
          </wp:positionH>
          <wp:positionV relativeFrom="paragraph">
            <wp:posOffset>-116205</wp:posOffset>
          </wp:positionV>
          <wp:extent cx="1438275" cy="276860"/>
          <wp:effectExtent l="0" t="0" r="0" b="8890"/>
          <wp:wrapThrough wrapText="bothSides">
            <wp:wrapPolygon edited="0">
              <wp:start x="1717" y="0"/>
              <wp:lineTo x="572" y="10404"/>
              <wp:lineTo x="1430" y="20807"/>
              <wp:lineTo x="5150" y="20807"/>
              <wp:lineTo x="20885" y="16349"/>
              <wp:lineTo x="20885" y="5945"/>
              <wp:lineTo x="4864" y="0"/>
              <wp:lineTo x="1717" y="0"/>
            </wp:wrapPolygon>
          </wp:wrapThrough>
          <wp:docPr id="146289996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2899961" name="Imagen 146289996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2211" r="2047" b="34114"/>
                  <a:stretch/>
                </pic:blipFill>
                <pic:spPr bwMode="auto">
                  <a:xfrm>
                    <a:off x="0" y="0"/>
                    <a:ext cx="1438275" cy="2768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8705E44"/>
    <w:multiLevelType w:val="hybridMultilevel"/>
    <w:tmpl w:val="95323308"/>
    <w:lvl w:ilvl="0" w:tplc="080A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80A0019">
      <w:start w:val="1"/>
      <w:numFmt w:val="lowerLetter"/>
      <w:lvlText w:val="%2."/>
      <w:lvlJc w:val="left"/>
      <w:pPr>
        <w:ind w:hanging="360" w:left="1440"/>
      </w:pPr>
    </w:lvl>
    <w:lvl w:ilvl="2" w:tentative="1" w:tplc="080A001B">
      <w:start w:val="1"/>
      <w:numFmt w:val="lowerRoman"/>
      <w:lvlText w:val="%3."/>
      <w:lvlJc w:val="right"/>
      <w:pPr>
        <w:ind w:hanging="180" w:left="2160"/>
      </w:pPr>
    </w:lvl>
    <w:lvl w:ilvl="3" w:tentative="1" w:tplc="080A000F">
      <w:start w:val="1"/>
      <w:numFmt w:val="decimal"/>
      <w:lvlText w:val="%4."/>
      <w:lvlJc w:val="left"/>
      <w:pPr>
        <w:ind w:hanging="360" w:left="2880"/>
      </w:pPr>
    </w:lvl>
    <w:lvl w:ilvl="4" w:tentative="1" w:tplc="080A0019">
      <w:start w:val="1"/>
      <w:numFmt w:val="lowerLetter"/>
      <w:lvlText w:val="%5."/>
      <w:lvlJc w:val="left"/>
      <w:pPr>
        <w:ind w:hanging="360" w:left="3600"/>
      </w:pPr>
    </w:lvl>
    <w:lvl w:ilvl="5" w:tentative="1" w:tplc="080A001B">
      <w:start w:val="1"/>
      <w:numFmt w:val="lowerRoman"/>
      <w:lvlText w:val="%6."/>
      <w:lvlJc w:val="right"/>
      <w:pPr>
        <w:ind w:hanging="180" w:left="4320"/>
      </w:pPr>
    </w:lvl>
    <w:lvl w:ilvl="6" w:tentative="1" w:tplc="080A000F">
      <w:start w:val="1"/>
      <w:numFmt w:val="decimal"/>
      <w:lvlText w:val="%7."/>
      <w:lvlJc w:val="left"/>
      <w:pPr>
        <w:ind w:hanging="360" w:left="5040"/>
      </w:pPr>
    </w:lvl>
    <w:lvl w:ilvl="7" w:tentative="1" w:tplc="080A0019">
      <w:start w:val="1"/>
      <w:numFmt w:val="lowerLetter"/>
      <w:lvlText w:val="%8."/>
      <w:lvlJc w:val="left"/>
      <w:pPr>
        <w:ind w:hanging="360" w:left="5760"/>
      </w:pPr>
    </w:lvl>
    <w:lvl w:ilvl="8" w:tentative="1" w:tplc="080A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601230985" w:numId="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38F"/>
    <w:rsid w:val="001520C5"/>
    <w:rsid w:val="00200396"/>
    <w:rsid w:val="004B57C4"/>
    <w:rsid w:val="005D51D5"/>
    <w:rsid w:val="0063665C"/>
    <w:rsid w:val="00705D4F"/>
    <w:rsid w:val="00810FDD"/>
    <w:rsid w:val="00A05DB6"/>
    <w:rsid w:val="00BF6A62"/>
    <w:rsid w:val="00C30104"/>
    <w:rsid w:val="00C76201"/>
    <w:rsid w:val="00D47432"/>
    <w:rsid w:val="00D91936"/>
    <w:rsid w:val="00DE4B64"/>
    <w:rsid w:val="00E9138F"/>
    <w:rsid w:val="00F26AEF"/>
    <w:rsid w:val="00F55AB7"/>
    <w:rsid w:val="00FB35F5"/>
    <w:rsid w:val="00FB47D6"/>
    <w:rsid w:val="00FF14A7"/>
  </w:rsids>
  <w:themeFontLang w:val="es-MX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s-MX"/>
        <w14:ligatures w14:val="standardContextual"/>
      </w:rPr>
    </w:rPrDefault>
    <w:pPrDefault>
      <w:pPr>
        <w:spacing w:after="80" w:before="360" w:line="278" w:lineRule="auto"/>
        <w:jc w:val="both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E9138F"/>
    <w:rPr>
      <w:rFonts w:ascii="Scto Grotesk A" w:hAnsi="Scto Grotesk A"/>
    </w:rPr>
  </w:style>
  <w:style w:styleId="Ttulo1" w:type="paragraph">
    <w:name w:val="heading 1"/>
    <w:basedOn w:val="Normal"/>
    <w:next w:val="Normal"/>
    <w:link w:val="Ttulo1Car"/>
    <w:uiPriority w:val="9"/>
    <w:qFormat/>
    <w:rsid w:val="00C76201"/>
    <w:pPr>
      <w:keepNext/>
      <w:keepLines/>
      <w:outlineLvl w:val="0"/>
    </w:pPr>
    <w:rPr>
      <w:rFonts w:cstheme="majorBidi" w:eastAsiaTheme="majorEastAsia"/>
      <w:b/>
      <w:color w:val="001B71"/>
      <w:sz w:val="40"/>
      <w:szCs w:val="40"/>
    </w:rPr>
  </w:style>
  <w:style w:styleId="Ttulo2" w:type="paragraph">
    <w:name w:val="heading 2"/>
    <w:basedOn w:val="Normal"/>
    <w:next w:val="Normal"/>
    <w:link w:val="Ttulo2Car"/>
    <w:uiPriority w:val="9"/>
    <w:unhideWhenUsed/>
    <w:qFormat/>
    <w:rsid w:val="00C76201"/>
    <w:pPr>
      <w:keepNext/>
      <w:keepLines/>
      <w:spacing w:before="160"/>
      <w:outlineLvl w:val="1"/>
    </w:pPr>
    <w:rPr>
      <w:rFonts w:cstheme="majorBidi" w:eastAsiaTheme="majorEastAsia"/>
      <w:b/>
      <w:color w:val="0047BA"/>
      <w:sz w:val="32"/>
      <w:szCs w:val="32"/>
    </w:rPr>
  </w:style>
  <w:style w:styleId="Ttulo3" w:type="paragraph">
    <w:name w:val="heading 3"/>
    <w:basedOn w:val="Normal"/>
    <w:next w:val="Normal"/>
    <w:link w:val="Ttulo3Car"/>
    <w:uiPriority w:val="9"/>
    <w:unhideWhenUsed/>
    <w:qFormat/>
    <w:rsid w:val="00C76201"/>
    <w:pPr>
      <w:keepNext/>
      <w:keepLines/>
      <w:spacing w:before="160"/>
      <w:outlineLvl w:val="2"/>
    </w:pPr>
    <w:rPr>
      <w:rFonts w:cstheme="majorBidi" w:eastAsiaTheme="majorEastAsia"/>
      <w:b/>
      <w:color w:val="0071CE"/>
      <w:sz w:val="28"/>
      <w:szCs w:val="28"/>
    </w:rPr>
  </w:style>
  <w:style w:styleId="Ttulo4" w:type="paragraph">
    <w:name w:val="heading 4"/>
    <w:basedOn w:val="Normal"/>
    <w:next w:val="Normal"/>
    <w:link w:val="Ttulo4Car"/>
    <w:uiPriority w:val="9"/>
    <w:unhideWhenUsed/>
    <w:qFormat/>
    <w:rsid w:val="00C76201"/>
    <w:pPr>
      <w:keepNext/>
      <w:keepLines/>
      <w:spacing w:after="40" w:before="80"/>
      <w:outlineLvl w:val="3"/>
    </w:pPr>
    <w:rPr>
      <w:rFonts w:cstheme="majorBidi" w:eastAsiaTheme="majorEastAsia"/>
      <w:b/>
      <w:iCs/>
      <w:color w:val="54565A"/>
    </w:rPr>
  </w:style>
  <w:style w:styleId="Ttulo5" w:type="paragraph">
    <w:name w:val="heading 5"/>
    <w:basedOn w:val="Normal"/>
    <w:next w:val="Normal"/>
    <w:link w:val="Ttulo5Car"/>
    <w:uiPriority w:val="9"/>
    <w:semiHidden/>
    <w:unhideWhenUsed/>
    <w:qFormat/>
    <w:rsid w:val="0063665C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tulo6" w:type="paragraph">
    <w:name w:val="heading 6"/>
    <w:basedOn w:val="Normal"/>
    <w:next w:val="Normal"/>
    <w:link w:val="Ttulo6Car"/>
    <w:uiPriority w:val="9"/>
    <w:semiHidden/>
    <w:unhideWhenUsed/>
    <w:qFormat/>
    <w:rsid w:val="0063665C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tulo7" w:type="paragraph">
    <w:name w:val="heading 7"/>
    <w:basedOn w:val="Normal"/>
    <w:next w:val="Normal"/>
    <w:link w:val="Ttulo7Car"/>
    <w:uiPriority w:val="9"/>
    <w:semiHidden/>
    <w:unhideWhenUsed/>
    <w:qFormat/>
    <w:rsid w:val="0063665C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tulo8" w:type="paragraph">
    <w:name w:val="heading 8"/>
    <w:basedOn w:val="Normal"/>
    <w:next w:val="Normal"/>
    <w:link w:val="Ttulo8Car"/>
    <w:uiPriority w:val="9"/>
    <w:semiHidden/>
    <w:unhideWhenUsed/>
    <w:qFormat/>
    <w:rsid w:val="0063665C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tulo9" w:type="paragraph">
    <w:name w:val="heading 9"/>
    <w:basedOn w:val="Normal"/>
    <w:next w:val="Normal"/>
    <w:link w:val="Ttulo9Car"/>
    <w:uiPriority w:val="9"/>
    <w:semiHidden/>
    <w:unhideWhenUsed/>
    <w:qFormat/>
    <w:rsid w:val="0063665C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customStyle="1" w:styleId="Ttulo1Car" w:type="character">
    <w:name w:val="Título 1 Car"/>
    <w:basedOn w:val="Fuentedeprrafopredeter"/>
    <w:link w:val="Ttulo1"/>
    <w:uiPriority w:val="9"/>
    <w:rsid w:val="00C76201"/>
    <w:rPr>
      <w:rFonts w:ascii="Scto Grotesk A" w:cstheme="majorBidi" w:eastAsiaTheme="majorEastAsia" w:hAnsi="Scto Grotesk A"/>
      <w:b/>
      <w:color w:val="001B71"/>
      <w:sz w:val="40"/>
      <w:szCs w:val="40"/>
    </w:rPr>
  </w:style>
  <w:style w:customStyle="1" w:styleId="Ttulo2Car" w:type="character">
    <w:name w:val="Título 2 Car"/>
    <w:basedOn w:val="Fuentedeprrafopredeter"/>
    <w:link w:val="Ttulo2"/>
    <w:uiPriority w:val="9"/>
    <w:rsid w:val="00C76201"/>
    <w:rPr>
      <w:rFonts w:ascii="Scto Grotesk A" w:cstheme="majorBidi" w:eastAsiaTheme="majorEastAsia" w:hAnsi="Scto Grotesk A"/>
      <w:b/>
      <w:color w:val="0047BA"/>
      <w:sz w:val="32"/>
      <w:szCs w:val="32"/>
    </w:rPr>
  </w:style>
  <w:style w:customStyle="1" w:styleId="Ttulo3Car" w:type="character">
    <w:name w:val="Título 3 Car"/>
    <w:basedOn w:val="Fuentedeprrafopredeter"/>
    <w:link w:val="Ttulo3"/>
    <w:uiPriority w:val="9"/>
    <w:rsid w:val="00C76201"/>
    <w:rPr>
      <w:rFonts w:ascii="Scto Grotesk A" w:cstheme="majorBidi" w:eastAsiaTheme="majorEastAsia" w:hAnsi="Scto Grotesk A"/>
      <w:b/>
      <w:color w:val="0071CE"/>
      <w:sz w:val="28"/>
      <w:szCs w:val="28"/>
    </w:rPr>
  </w:style>
  <w:style w:customStyle="1" w:styleId="Ttulo4Car" w:type="character">
    <w:name w:val="Título 4 Car"/>
    <w:basedOn w:val="Fuentedeprrafopredeter"/>
    <w:link w:val="Ttulo4"/>
    <w:uiPriority w:val="9"/>
    <w:rsid w:val="00C76201"/>
    <w:rPr>
      <w:rFonts w:ascii="Scto Grotesk A" w:cstheme="majorBidi" w:eastAsiaTheme="majorEastAsia" w:hAnsi="Scto Grotesk A"/>
      <w:b/>
      <w:iCs/>
      <w:color w:val="54565A"/>
    </w:rPr>
  </w:style>
  <w:style w:customStyle="1" w:styleId="Ttulo5Car" w:type="character">
    <w:name w:val="Título 5 Car"/>
    <w:basedOn w:val="Fuentedeprrafopredeter"/>
    <w:link w:val="Ttulo5"/>
    <w:uiPriority w:val="9"/>
    <w:semiHidden/>
    <w:rsid w:val="0063665C"/>
    <w:rPr>
      <w:rFonts w:cstheme="majorBidi" w:eastAsiaTheme="majorEastAsia"/>
      <w:color w:themeColor="accent1" w:themeShade="BF" w:val="0F4761"/>
    </w:rPr>
  </w:style>
  <w:style w:customStyle="1" w:styleId="Ttulo6Car" w:type="character">
    <w:name w:val="Título 6 Car"/>
    <w:basedOn w:val="Fuentedeprrafopredeter"/>
    <w:link w:val="Ttulo6"/>
    <w:uiPriority w:val="9"/>
    <w:semiHidden/>
    <w:rsid w:val="0063665C"/>
    <w:rPr>
      <w:rFonts w:cstheme="majorBidi" w:eastAsiaTheme="majorEastAsia"/>
      <w:i/>
      <w:iCs/>
      <w:color w:themeColor="text1" w:themeTint="A6" w:val="595959"/>
    </w:rPr>
  </w:style>
  <w:style w:customStyle="1" w:styleId="Ttulo7Car" w:type="character">
    <w:name w:val="Título 7 Car"/>
    <w:basedOn w:val="Fuentedeprrafopredeter"/>
    <w:link w:val="Ttulo7"/>
    <w:uiPriority w:val="9"/>
    <w:semiHidden/>
    <w:rsid w:val="0063665C"/>
    <w:rPr>
      <w:rFonts w:cstheme="majorBidi" w:eastAsiaTheme="majorEastAsia"/>
      <w:color w:themeColor="text1" w:themeTint="A6" w:val="595959"/>
    </w:rPr>
  </w:style>
  <w:style w:customStyle="1" w:styleId="Ttulo8Car" w:type="character">
    <w:name w:val="Título 8 Car"/>
    <w:basedOn w:val="Fuentedeprrafopredeter"/>
    <w:link w:val="Ttulo8"/>
    <w:uiPriority w:val="9"/>
    <w:semiHidden/>
    <w:rsid w:val="0063665C"/>
    <w:rPr>
      <w:rFonts w:cstheme="majorBidi" w:eastAsiaTheme="majorEastAsia"/>
      <w:i/>
      <w:iCs/>
      <w:color w:themeColor="text1" w:themeTint="D8" w:val="272727"/>
    </w:rPr>
  </w:style>
  <w:style w:customStyle="1" w:styleId="Ttulo9Car" w:type="character">
    <w:name w:val="Título 9 Car"/>
    <w:basedOn w:val="Fuentedeprrafopredeter"/>
    <w:link w:val="Ttulo9"/>
    <w:uiPriority w:val="9"/>
    <w:semiHidden/>
    <w:rsid w:val="0063665C"/>
    <w:rPr>
      <w:rFonts w:cstheme="majorBidi" w:eastAsiaTheme="majorEastAsia"/>
      <w:color w:themeColor="text1" w:themeTint="D8" w:val="272727"/>
    </w:rPr>
  </w:style>
  <w:style w:styleId="Ttulo" w:type="paragraph">
    <w:name w:val="Title"/>
    <w:basedOn w:val="Normal"/>
    <w:next w:val="Normal"/>
    <w:link w:val="TtuloCar"/>
    <w:uiPriority w:val="10"/>
    <w:qFormat/>
    <w:rsid w:val="0063665C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tuloCar" w:type="character">
    <w:name w:val="Título Car"/>
    <w:basedOn w:val="Fuentedeprrafopredeter"/>
    <w:link w:val="Ttulo"/>
    <w:uiPriority w:val="10"/>
    <w:rsid w:val="0063665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tulo" w:type="paragraph">
    <w:name w:val="Subtitle"/>
    <w:basedOn w:val="Normal"/>
    <w:next w:val="Normal"/>
    <w:link w:val="SubttuloCar"/>
    <w:uiPriority w:val="11"/>
    <w:qFormat/>
    <w:rsid w:val="0063665C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tuloCar" w:type="character">
    <w:name w:val="Subtítulo Car"/>
    <w:basedOn w:val="Fuentedeprrafopredeter"/>
    <w:link w:val="Subttulo"/>
    <w:uiPriority w:val="11"/>
    <w:rsid w:val="0063665C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" w:type="paragraph">
    <w:name w:val="Quote"/>
    <w:basedOn w:val="Normal"/>
    <w:next w:val="Normal"/>
    <w:link w:val="CitaCar"/>
    <w:uiPriority w:val="29"/>
    <w:qFormat/>
    <w:rsid w:val="0063665C"/>
    <w:pPr>
      <w:spacing w:before="160"/>
      <w:jc w:val="center"/>
    </w:pPr>
    <w:rPr>
      <w:i/>
      <w:iCs/>
      <w:color w:themeColor="text1" w:themeTint="BF" w:val="404040"/>
    </w:rPr>
  </w:style>
  <w:style w:customStyle="1" w:styleId="CitaCar" w:type="character">
    <w:name w:val="Cita Car"/>
    <w:basedOn w:val="Fuentedeprrafopredeter"/>
    <w:link w:val="Cita"/>
    <w:uiPriority w:val="29"/>
    <w:rsid w:val="0063665C"/>
    <w:rPr>
      <w:i/>
      <w:iCs/>
      <w:color w:themeColor="text1" w:themeTint="BF" w:val="404040"/>
    </w:rPr>
  </w:style>
  <w:style w:styleId="Prrafodelista" w:type="paragraph">
    <w:name w:val="List Paragraph"/>
    <w:basedOn w:val="Normal"/>
    <w:uiPriority w:val="34"/>
    <w:qFormat/>
    <w:rsid w:val="0063665C"/>
    <w:pPr>
      <w:ind w:left="720"/>
      <w:contextualSpacing/>
    </w:pPr>
  </w:style>
  <w:style w:styleId="nfasisintenso" w:type="character">
    <w:name w:val="Intense Emphasis"/>
    <w:basedOn w:val="Fuentedeprrafopredeter"/>
    <w:uiPriority w:val="21"/>
    <w:qFormat/>
    <w:rsid w:val="0063665C"/>
    <w:rPr>
      <w:i/>
      <w:iCs/>
      <w:color w:themeColor="accent1" w:themeShade="BF" w:val="0F4761"/>
    </w:rPr>
  </w:style>
  <w:style w:styleId="Citadestacada" w:type="paragraph">
    <w:name w:val="Intense Quote"/>
    <w:basedOn w:val="Normal"/>
    <w:next w:val="Normal"/>
    <w:link w:val="CitadestacadaCar"/>
    <w:uiPriority w:val="30"/>
    <w:qFormat/>
    <w:rsid w:val="0063665C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/>
      <w:ind w:left="864" w:right="864"/>
      <w:jc w:val="center"/>
    </w:pPr>
    <w:rPr>
      <w:i/>
      <w:iCs/>
      <w:color w:themeColor="accent1" w:themeShade="BF" w:val="0F4761"/>
    </w:rPr>
  </w:style>
  <w:style w:customStyle="1" w:styleId="CitadestacadaCar" w:type="character">
    <w:name w:val="Cita destacada Car"/>
    <w:basedOn w:val="Fuentedeprrafopredeter"/>
    <w:link w:val="Citadestacada"/>
    <w:uiPriority w:val="30"/>
    <w:rsid w:val="0063665C"/>
    <w:rPr>
      <w:i/>
      <w:iCs/>
      <w:color w:themeColor="accent1" w:themeShade="BF" w:val="0F4761"/>
    </w:rPr>
  </w:style>
  <w:style w:styleId="Referenciaintensa" w:type="character">
    <w:name w:val="Intense Reference"/>
    <w:basedOn w:val="Fuentedeprrafopredeter"/>
    <w:uiPriority w:val="32"/>
    <w:qFormat/>
    <w:rsid w:val="0063665C"/>
    <w:rPr>
      <w:b/>
      <w:bCs/>
      <w:smallCaps/>
      <w:color w:themeColor="accent1" w:themeShade="BF" w:val="0F4761"/>
      <w:spacing w:val="5"/>
    </w:rPr>
  </w:style>
  <w:style w:styleId="Encabezado" w:type="paragraph">
    <w:name w:val="header"/>
    <w:basedOn w:val="Normal"/>
    <w:link w:val="EncabezadoCar"/>
    <w:uiPriority w:val="99"/>
    <w:unhideWhenUsed/>
    <w:rsid w:val="004B57C4"/>
    <w:pPr>
      <w:tabs>
        <w:tab w:pos="4419" w:val="center"/>
        <w:tab w:pos="8838" w:val="right"/>
      </w:tabs>
      <w:spacing w:after="0" w:line="240" w:lineRule="auto"/>
    </w:pPr>
  </w:style>
  <w:style w:customStyle="1" w:styleId="EncabezadoCar" w:type="character">
    <w:name w:val="Encabezado Car"/>
    <w:basedOn w:val="Fuentedeprrafopredeter"/>
    <w:link w:val="Encabezado"/>
    <w:uiPriority w:val="99"/>
    <w:rsid w:val="004B57C4"/>
  </w:style>
  <w:style w:styleId="Piedepgina" w:type="paragraph">
    <w:name w:val="footer"/>
    <w:basedOn w:val="Normal"/>
    <w:link w:val="PiedepginaCar"/>
    <w:uiPriority w:val="99"/>
    <w:unhideWhenUsed/>
    <w:rsid w:val="004B57C4"/>
    <w:pPr>
      <w:tabs>
        <w:tab w:pos="4419" w:val="center"/>
        <w:tab w:pos="8838" w:val="right"/>
      </w:tabs>
      <w:spacing w:after="0" w:line="240" w:lineRule="auto"/>
    </w:pPr>
  </w:style>
  <w:style w:customStyle="1" w:styleId="PiedepginaCar" w:type="character">
    <w:name w:val="Pie de página Car"/>
    <w:basedOn w:val="Fuentedeprrafopredeter"/>
    <w:link w:val="Piedepgina"/>
    <w:uiPriority w:val="99"/>
    <w:rsid w:val="004B57C4"/>
  </w:style>
  <w:style w:styleId="Sinespaciado" w:type="paragraph">
    <w:name w:val="No Spacing"/>
    <w:uiPriority w:val="1"/>
    <w:qFormat/>
    <w:rsid w:val="00E9138F"/>
    <w:pPr>
      <w:spacing w:after="0" w:line="240" w:lineRule="auto"/>
    </w:pPr>
    <w:rPr>
      <w:rFonts w:ascii="Scto Grotesk A" w:hAnsi="Scto Grotesk A"/>
    </w:rPr>
  </w:style>
  <w:style w:customStyle="1" w:styleId="Leyenda" w:type="paragraph">
    <w:name w:val="Leyenda"/>
    <w:basedOn w:val="Normal"/>
    <w:next w:val="Normal"/>
    <w:qFormat/>
    <w:rsid w:val="00FF14A7"/>
    <w:pPr>
      <w:spacing w:after="0" w:before="120"/>
      <w:jc w:val="center"/>
    </w:pPr>
    <w:rPr>
      <w:i/>
      <w:color w:themeColor="background1" w:themeShade="80" w:val="808080"/>
      <w:sz w:val="16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9" Type="http://schemas.openxmlformats.org/officeDocument/2006/relationships/image" Target="media/rId39.png"/><Relationship Id="rId3" Type="http://schemas.openxmlformats.org/officeDocument/2006/relationships/settings" Target="settings.xml"/><Relationship Id="rId21" Type="http://schemas.openxmlformats.org/officeDocument/2006/relationships/image" Target="media/rId21.png"/><Relationship Id="rId42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41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24" Type="http://schemas.openxmlformats.org/officeDocument/2006/relationships/image" Target="media/rId24.png"/><Relationship Id="rId40" Type="http://schemas.openxmlformats.org/officeDocument/2006/relationships/customXml" Target="../customXml/item1.xml"/><Relationship Id="rId5" Type="http://schemas.openxmlformats.org/officeDocument/2006/relationships/fontTable" Target="fontTable.xml"/><Relationship Id="rId31" Type="http://schemas.openxmlformats.org/officeDocument/2006/relationships/image" Target="media/rId31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27" Type="http://schemas.openxmlformats.org/officeDocument/2006/relationships/image" Target="media/rId27.png"/><Relationship Id="rId35" Type="http://schemas.openxmlformats.org/officeDocument/2006/relationships/image" Target="media/rId35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EAD09205C74F4E8DD07CD83415A5EE" ma:contentTypeVersion="12" ma:contentTypeDescription="Crear nuevo documento." ma:contentTypeScope="" ma:versionID="e0823ec8afa998fdfb9e39cbe434a083">
  <xsd:schema xmlns:xsd="http://www.w3.org/2001/XMLSchema" xmlns:xs="http://www.w3.org/2001/XMLSchema" xmlns:p="http://schemas.microsoft.com/office/2006/metadata/properties" xmlns:ns2="8b5c3539-0375-4e9b-bfae-98cd27ae022a" xmlns:ns3="08869d82-6d3d-4b30-908e-731f5d0a7493" targetNamespace="http://schemas.microsoft.com/office/2006/metadata/properties" ma:root="true" ma:fieldsID="8814986f35f17b55b0321d110b0cc31c" ns2:_="" ns3:_="">
    <xsd:import namespace="8b5c3539-0375-4e9b-bfae-98cd27ae022a"/>
    <xsd:import namespace="08869d82-6d3d-4b30-908e-731f5d0a74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c3539-0375-4e9b-bfae-98cd27ae02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68fe6710-1d1f-41b0-9fa9-5394549bba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869d82-6d3d-4b30-908e-731f5d0a749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361f2ac-4a22-4541-84f7-bf033683c04a}" ma:internalName="TaxCatchAll" ma:showField="CatchAllData" ma:web="08869d82-6d3d-4b30-908e-731f5d0a74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8869d82-6d3d-4b30-908e-731f5d0a7493" xsi:nil="true"/>
    <lcf76f155ced4ddcb4097134ff3c332f xmlns="8b5c3539-0375-4e9b-bfae-98cd27ae022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97C168F-0E73-4F44-889F-7C02E67FBFF1}"/>
</file>

<file path=customXml/itemProps2.xml><?xml version="1.0" encoding="utf-8"?>
<ds:datastoreItem xmlns:ds="http://schemas.openxmlformats.org/officeDocument/2006/customXml" ds:itemID="{4B75446A-9B46-4875-8D02-B38D79A33832}"/>
</file>

<file path=customXml/itemProps3.xml><?xml version="1.0" encoding="utf-8"?>
<ds:datastoreItem xmlns:ds="http://schemas.openxmlformats.org/officeDocument/2006/customXml" ds:itemID="{2DD72493-4CC7-45F4-A5CE-1A7A0CF1C780}"/>
</file>

<file path=docProps/app.xml><?xml version="1.0" encoding="utf-8"?>
<Properties xmlns="http://schemas.openxmlformats.org/officeDocument/2006/extended-properties" xmlns:vt="http://schemas.openxmlformats.org/officeDocument/2006/docPropsVTypes">
  <Template>Plantilla _fichas_DAyP</Template>
  <TotalTime>1</TotalTime>
  <Pages>1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2026-06-10T19:45:15Z</dcterms:created>
  <dcterms:modified xsi:type="dcterms:W3CDTF">2026-06-10T19:45:15Z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params">
    <vt:lpwstr/>
  </property>
  <property fmtid="{D5CDD505-2E9C-101B-9397-08002B2CF9AE}" pid="4" name="ContentTypeId">
    <vt:lpwstr>0x01010037EAD09205C74F4E8DD07CD83415A5EE</vt:lpwstr>
  </property>
</Properties>
</file>