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750B" w14:textId="77777777" w:rsidR="00FB77ED" w:rsidRDefault="00000000" w:rsidP="00A132BD">
      <w:pPr>
        <w:spacing w:after="0"/>
      </w:pPr>
      <w:r>
        <w:rPr>
          <w:rFonts w:ascii="Calibri" w:hAnsi="Calibri"/>
          <w:b/>
          <w:color w:val="13325B"/>
          <w:sz w:val="40"/>
        </w:rPr>
        <w:t>Finkraft B2B E-Invoicing Platform: Master CTO Submission</w:t>
      </w:r>
    </w:p>
    <w:p w14:paraId="155BFF31" w14:textId="691A425A" w:rsidR="00FB77ED" w:rsidRDefault="00000000" w:rsidP="00A132BD">
      <w:pPr>
        <w:spacing w:after="0"/>
      </w:pPr>
      <w:r>
        <w:rPr>
          <w:rFonts w:ascii="Calibri" w:hAnsi="Calibri"/>
          <w:color w:val="646E78"/>
          <w:sz w:val="20"/>
        </w:rPr>
        <w:t>UAE Federal Tax Authority (FTA) Peppol 5-Corner DCTCE Compliance Platform</w:t>
      </w:r>
      <w:r>
        <w:rPr>
          <w:rFonts w:ascii="Calibri" w:hAnsi="Calibri"/>
          <w:color w:val="646E78"/>
          <w:sz w:val="20"/>
        </w:rPr>
        <w:br/>
        <w:t xml:space="preserve">Candidate: </w:t>
      </w:r>
      <w:r w:rsidR="00A132BD" w:rsidRPr="00A132BD">
        <w:rPr>
          <w:rFonts w:ascii="Calibri" w:hAnsi="Calibri"/>
          <w:color w:val="646E78"/>
          <w:sz w:val="20"/>
        </w:rPr>
        <w:t>Srinivas Senniappan</w:t>
      </w:r>
      <w:r w:rsidR="00A132BD">
        <w:rPr>
          <w:rFonts w:ascii="Calibri" w:hAnsi="Calibri"/>
          <w:color w:val="646E78"/>
          <w:sz w:val="20"/>
        </w:rPr>
        <w:t xml:space="preserve"> </w:t>
      </w:r>
      <w:r>
        <w:rPr>
          <w:rFonts w:ascii="Calibri" w:hAnsi="Calibri"/>
          <w:color w:val="646E78"/>
          <w:sz w:val="20"/>
        </w:rPr>
        <w:t xml:space="preserve">| Submission Deliverable: </w:t>
      </w:r>
      <w:r w:rsidR="00A132BD">
        <w:rPr>
          <w:rFonts w:ascii="Calibri" w:hAnsi="Calibri"/>
          <w:color w:val="646E78"/>
          <w:sz w:val="20"/>
        </w:rPr>
        <w:t>Execution Plan</w:t>
      </w:r>
    </w:p>
    <w:p w14:paraId="0559A643" w14:textId="77777777" w:rsidR="00FB77ED" w:rsidRDefault="00000000" w:rsidP="00A132BD">
      <w:pPr>
        <w:spacing w:after="0"/>
      </w:pPr>
      <w:r>
        <w:rPr>
          <w:color w:val="C8CDD7"/>
        </w:rPr>
        <w:t>―――――――――――――――――――――――――――――――――――――――――――――――――――――――</w:t>
      </w:r>
    </w:p>
    <w:p w14:paraId="23CC9B23" w14:textId="06BFED15" w:rsidR="00FB77ED" w:rsidRDefault="00000000" w:rsidP="00A132BD">
      <w:pPr>
        <w:pStyle w:val="Heading1"/>
        <w:spacing w:before="0"/>
      </w:pPr>
      <w:r>
        <w:rPr>
          <w:rFonts w:ascii="Calibri" w:hAnsi="Calibri"/>
          <w:color w:val="13325B"/>
        </w:rPr>
        <w:t>Part 3: 30-Day CTO Execution Plan</w:t>
      </w:r>
    </w:p>
    <w:p w14:paraId="7B6865FA" w14:textId="77777777" w:rsidR="00FB77ED" w:rsidRDefault="00000000" w:rsidP="00A132BD">
      <w:pPr>
        <w:pStyle w:val="Heading2"/>
        <w:spacing w:before="0"/>
      </w:pPr>
      <w:r>
        <w:rPr>
          <w:rFonts w:ascii="Calibri" w:hAnsi="Calibri"/>
          <w:color w:val="13325B"/>
        </w:rPr>
        <w:t>1. Executive Strategy &amp; Squad Allocation</w:t>
      </w:r>
    </w:p>
    <w:p w14:paraId="6F1D26F9" w14:textId="77777777" w:rsidR="00FB77ED" w:rsidRPr="00A132BD" w:rsidRDefault="00000000" w:rsidP="00A132BD">
      <w:pPr>
        <w:spacing w:after="0"/>
        <w:rPr>
          <w:sz w:val="20"/>
          <w:szCs w:val="20"/>
        </w:rPr>
      </w:pPr>
      <w:r w:rsidRPr="00A132BD">
        <w:rPr>
          <w:sz w:val="20"/>
          <w:szCs w:val="20"/>
        </w:rPr>
        <w:t>With 3 Backend Engineers (BE1, BE2, BE3) and 1 Frontend Engineer (FE1), we operate as a single-threaded squad focused strictly on the compliant critical path. Weeks 1–4 execute feature delivery and achieve full feature freeze; Weeks 5–6 are strictly reserved for partner UAT, security penetration testing, and zero-defect launch hardening.</w:t>
      </w:r>
    </w:p>
    <w:p w14:paraId="4C6D01BD" w14:textId="77777777" w:rsidR="00FB77ED" w:rsidRDefault="00000000" w:rsidP="00A132BD">
      <w:pPr>
        <w:pStyle w:val="Heading2"/>
        <w:spacing w:before="0"/>
      </w:pPr>
      <w:r>
        <w:rPr>
          <w:rFonts w:ascii="Calibri" w:hAnsi="Calibri"/>
          <w:color w:val="13325B"/>
        </w:rPr>
        <w:t>2. Weekly Execution Schedule (Weeks 1 to 4)</w:t>
      </w:r>
    </w:p>
    <w:p w14:paraId="0CE87D11" w14:textId="77777777" w:rsidR="00FB77ED" w:rsidRPr="00A132BD" w:rsidRDefault="00000000" w:rsidP="00A132BD">
      <w:pPr>
        <w:spacing w:after="0"/>
        <w:rPr>
          <w:sz w:val="20"/>
          <w:szCs w:val="20"/>
        </w:rPr>
      </w:pPr>
      <w:r w:rsidRPr="00A132BD">
        <w:rPr>
          <w:b/>
          <w:bCs/>
          <w:sz w:val="20"/>
          <w:szCs w:val="20"/>
          <w:u w:val="single"/>
        </w:rPr>
        <w:t>Week 1: Architectural Alignment, Scope Freeze &amp; Core Foundations</w:t>
      </w:r>
      <w:r w:rsidRPr="00A132BD">
        <w:rPr>
          <w:sz w:val="20"/>
          <w:szCs w:val="20"/>
        </w:rPr>
        <w:br/>
        <w:t>* CTO: Enforce scope freeze with CEO/Product; audit ASP sandboxes and rate limits; establish trunk CI/CD with ephemeral previews.</w:t>
      </w:r>
      <w:r w:rsidRPr="00A132BD">
        <w:rPr>
          <w:sz w:val="20"/>
          <w:szCs w:val="20"/>
        </w:rPr>
        <w:br/>
        <w:t>* BE1 (State Machine &amp; Locks): Core state machine, PostgreSQL schema, unique index on (seller_trn, invoice_number) with row locks.</w:t>
      </w:r>
      <w:r w:rsidRPr="00A132BD">
        <w:rPr>
          <w:sz w:val="20"/>
          <w:szCs w:val="20"/>
        </w:rPr>
        <w:br/>
        <w:t>* BE2 (ASP Adapter): Unified ASPAdapter contract for primary launch ASP (A/B), isolating authentication and rate-limiting queues.</w:t>
      </w:r>
      <w:r w:rsidRPr="00A132BD">
        <w:rPr>
          <w:sz w:val="20"/>
          <w:szCs w:val="20"/>
        </w:rPr>
        <w:br/>
        <w:t>* BE3 (PINT AE Validation): PINT AE business validation engine (15-digit TRN validation, BT-48 VAT category codes, tax arithmetic).</w:t>
      </w:r>
      <w:r w:rsidRPr="00A132BD">
        <w:rPr>
          <w:sz w:val="20"/>
          <w:szCs w:val="20"/>
        </w:rPr>
        <w:br/>
        <w:t>* FE1 (Ingestion UI): Authenticated drag-and-drop CSV/Excel bulk upload interface with instant client-side format checks.</w:t>
      </w:r>
      <w:r w:rsidRPr="00A132BD">
        <w:rPr>
          <w:sz w:val="20"/>
          <w:szCs w:val="20"/>
        </w:rPr>
        <w:br/>
        <w:t>* Milestone: Test suite passing with 100% coverage on state transitions, validation errors, and duplicate rejection.</w:t>
      </w:r>
    </w:p>
    <w:p w14:paraId="4E129AA4" w14:textId="77777777" w:rsidR="00FB77ED" w:rsidRPr="00A132BD" w:rsidRDefault="00000000" w:rsidP="00A132BD">
      <w:pPr>
        <w:spacing w:after="0"/>
        <w:rPr>
          <w:sz w:val="20"/>
          <w:szCs w:val="20"/>
        </w:rPr>
      </w:pPr>
      <w:r w:rsidRPr="00A132BD">
        <w:rPr>
          <w:b/>
          <w:bCs/>
          <w:sz w:val="20"/>
          <w:szCs w:val="20"/>
          <w:u w:val="single"/>
        </w:rPr>
        <w:t>Week 2: The 'Walking Skeleton' (End-to-End Ingestion to Clearance)</w:t>
      </w:r>
      <w:r w:rsidRPr="00A132BD">
        <w:rPr>
          <w:b/>
          <w:bCs/>
          <w:sz w:val="20"/>
          <w:szCs w:val="20"/>
          <w:u w:val="single"/>
        </w:rPr>
        <w:br/>
      </w:r>
      <w:r w:rsidRPr="00A132BD">
        <w:rPr>
          <w:sz w:val="20"/>
          <w:szCs w:val="20"/>
        </w:rPr>
        <w:t>* CTO: Drive end-to-end integration across components; establish structured JSON logging with correlation IDs (seller_trn:invoice_number).</w:t>
      </w:r>
      <w:r w:rsidRPr="00A132BD">
        <w:rPr>
          <w:sz w:val="20"/>
          <w:szCs w:val="20"/>
        </w:rPr>
        <w:br/>
        <w:t>* BE1 + BE2: Wire Ingestion -&gt; PINT AE -&gt; ASP Adapter. Implement async worker queue and webhook ingress with HMAC verification.</w:t>
      </w:r>
      <w:r w:rsidRPr="00A132BD">
        <w:rPr>
          <w:sz w:val="20"/>
          <w:szCs w:val="20"/>
        </w:rPr>
        <w:br/>
        <w:t>* BE3: Build Active Reconciliation Worker for submission timeouts and the idempotent webhook event ledger.</w:t>
      </w:r>
      <w:r w:rsidRPr="00A132BD">
        <w:rPr>
          <w:sz w:val="20"/>
          <w:szCs w:val="20"/>
        </w:rPr>
        <w:br/>
        <w:t>* FE1: Invoice Status Dashboard (search by invoice number, state badges: ACKNOWLEDGED, DELIVERED_C3, REPORTED_C5, REJECTED).</w:t>
      </w:r>
      <w:r w:rsidRPr="00A132BD">
        <w:rPr>
          <w:sz w:val="20"/>
          <w:szCs w:val="20"/>
        </w:rPr>
        <w:br/>
        <w:t>* Milestone: First real test invoice uploaded via UI, submitted to ASP sandbox, and tracked to C5 clearance in staging.</w:t>
      </w:r>
    </w:p>
    <w:p w14:paraId="3AC35886" w14:textId="77777777" w:rsidR="00FB77ED" w:rsidRPr="00A132BD" w:rsidRDefault="00000000" w:rsidP="00A132BD">
      <w:pPr>
        <w:spacing w:after="0"/>
        <w:rPr>
          <w:sz w:val="20"/>
          <w:szCs w:val="20"/>
        </w:rPr>
      </w:pPr>
      <w:r w:rsidRPr="00A132BD">
        <w:rPr>
          <w:b/>
          <w:bCs/>
          <w:sz w:val="20"/>
          <w:szCs w:val="20"/>
          <w:u w:val="single"/>
        </w:rPr>
        <w:t>Weeks 3–4: Failure Resilience, Bulk Scaling &amp; Feature Freeze</w:t>
      </w:r>
      <w:r w:rsidRPr="00A132BD">
        <w:rPr>
          <w:sz w:val="20"/>
          <w:szCs w:val="20"/>
        </w:rPr>
        <w:br/>
        <w:t>* BE1 (Bulk Processing): Streaming CSV parser (10k+ rows) without memory spikes; tune token-bucket throttler (10 req/s for ASP A).</w:t>
      </w:r>
      <w:r w:rsidRPr="00A132BD">
        <w:rPr>
          <w:sz w:val="20"/>
          <w:szCs w:val="20"/>
        </w:rPr>
        <w:br/>
        <w:t>* BE2 (Secondary ASP &amp; Failover): Finalize secondary adapter in registry to enable customer ASP switching; build Dead Letter Queues.</w:t>
      </w:r>
      <w:r w:rsidRPr="00A132BD">
        <w:rPr>
          <w:sz w:val="20"/>
          <w:szCs w:val="20"/>
        </w:rPr>
        <w:br/>
        <w:t>* BE3 (Observability &amp; Audit): Implement tamper-evident audit logging for FTA inspection; instrument Prometheus metrics and PagerDuty.</w:t>
      </w:r>
      <w:r w:rsidRPr="00A132BD">
        <w:rPr>
          <w:sz w:val="20"/>
          <w:szCs w:val="20"/>
        </w:rPr>
        <w:br/>
        <w:t>* FE1 (Error Triage UI): Row-level error remediation view (download invalid rows with BT-xx error hints so users fix and re-upload).</w:t>
      </w:r>
      <w:r w:rsidRPr="00A132BD">
        <w:rPr>
          <w:sz w:val="20"/>
          <w:szCs w:val="20"/>
        </w:rPr>
        <w:br/>
        <w:t>* CTO + Squad: Chaos Testing Game Day (inject ASP 504 timeouts, duplicate uploads, out-of-order webhooks). FEATURE FREEZE END W4.</w:t>
      </w:r>
    </w:p>
    <w:p w14:paraId="7327E970" w14:textId="77777777" w:rsidR="00FB77ED" w:rsidRDefault="00000000" w:rsidP="00A132BD">
      <w:pPr>
        <w:pStyle w:val="Heading2"/>
        <w:spacing w:before="0"/>
      </w:pPr>
      <w:r>
        <w:rPr>
          <w:rFonts w:ascii="Calibri" w:hAnsi="Calibri"/>
          <w:color w:val="13325B"/>
        </w:rPr>
        <w:t>3. Deliberate Scope Cuts (What We Cut and Why)</w:t>
      </w:r>
    </w:p>
    <w:p w14:paraId="5D3368F1" w14:textId="77777777" w:rsidR="00FB77ED" w:rsidRPr="00A132BD" w:rsidRDefault="00000000" w:rsidP="00A132BD">
      <w:pPr>
        <w:spacing w:after="0"/>
        <w:rPr>
          <w:sz w:val="20"/>
          <w:szCs w:val="20"/>
        </w:rPr>
      </w:pPr>
      <w:r w:rsidRPr="00A132BD">
        <w:rPr>
          <w:sz w:val="20"/>
          <w:szCs w:val="20"/>
        </w:rPr>
        <w:t>1. Native ERP Connectors (SAP, Oracle, Dynamics): Cut due to multi-month integration cycles. Replaced by standardized CSV/Excel uploads and REST API.</w:t>
      </w:r>
      <w:r w:rsidRPr="00A132BD">
        <w:rPr>
          <w:sz w:val="20"/>
          <w:szCs w:val="20"/>
        </w:rPr>
        <w:br/>
        <w:t>2. Active-Active Multi-ASP Dynamic Load Balancing: Cut to eliminate distributed concurrency races and double-filing risks. Replaced by single ASP per seller with config switching.</w:t>
      </w:r>
      <w:r w:rsidRPr="00A132BD">
        <w:rPr>
          <w:sz w:val="20"/>
          <w:szCs w:val="20"/>
        </w:rPr>
        <w:br/>
        <w:t>3. In-Browser Invoice Editor &amp; Line-Item Correction: Cut because interactive UI tax calculators would consume 100% of FE1's runway. Replaced by 'Reject &amp; Download Error CSV'.</w:t>
      </w:r>
      <w:r w:rsidRPr="00A132BD">
        <w:rPr>
          <w:sz w:val="20"/>
          <w:szCs w:val="20"/>
        </w:rPr>
        <w:br/>
        <w:t>4. Buyer Portal &amp; Advanced Financial Analytics: Cut because compliance is driven by Seller (C1) and FTA (C5). Buyer portals add zero regulatory value for Day 1.</w:t>
      </w:r>
    </w:p>
    <w:p w14:paraId="184DDE1D" w14:textId="77777777" w:rsidR="00FB77ED" w:rsidRDefault="00000000" w:rsidP="00A132BD">
      <w:pPr>
        <w:pStyle w:val="Heading2"/>
        <w:spacing w:before="0"/>
      </w:pPr>
      <w:r>
        <w:rPr>
          <w:rFonts w:ascii="Calibri" w:hAnsi="Calibri"/>
          <w:color w:val="13325B"/>
        </w:rPr>
        <w:t>4. The First Two Things to Measure</w:t>
      </w:r>
    </w:p>
    <w:p w14:paraId="7E4EBBF9" w14:textId="076B5C04" w:rsidR="00FB77ED" w:rsidRPr="00A132BD" w:rsidRDefault="00000000">
      <w:pPr>
        <w:rPr>
          <w:sz w:val="20"/>
          <w:szCs w:val="20"/>
        </w:rPr>
      </w:pPr>
      <w:r w:rsidRPr="00A132BD">
        <w:rPr>
          <w:sz w:val="20"/>
          <w:szCs w:val="20"/>
        </w:rPr>
        <w:t>Metric 1: Zero-Duplicate Submission Rate &amp; Idempotency Violations (Target: Exactly 0)</w:t>
      </w:r>
      <w:r w:rsidRPr="00A132BD">
        <w:rPr>
          <w:sz w:val="20"/>
          <w:szCs w:val="20"/>
        </w:rPr>
        <w:br/>
        <w:t>* Rationale: Sovereign tax invariant. Submitting twice creates phantom tax liability on customer balance sheets and triggers FTA audits.</w:t>
      </w:r>
      <w:r w:rsidRPr="00A132BD">
        <w:rPr>
          <w:sz w:val="20"/>
          <w:szCs w:val="20"/>
        </w:rPr>
        <w:br/>
        <w:t>* Instrumentation: Counter finkraft_duplicates_blocked_total at edge; immediate P0 alert if any duplicate payload reaches an ASP.</w:t>
      </w:r>
      <w:r w:rsidRPr="00A132BD">
        <w:rPr>
          <w:sz w:val="20"/>
          <w:szCs w:val="20"/>
        </w:rPr>
        <w:br/>
        <w:t>Metric 2: End-to-End Compliance Latency (P95 &lt; 120s) &amp; Ambiguous State Dwell Time (&lt; 60s)</w:t>
      </w:r>
      <w:r w:rsidRPr="00A132BD">
        <w:rPr>
          <w:sz w:val="20"/>
          <w:szCs w:val="20"/>
        </w:rPr>
        <w:br/>
        <w:t>* Rationale: Invoices stuck in intermediate or ambiguous states delay commercial payments. Verifies reconciliation auto-heals glitches.</w:t>
      </w:r>
    </w:p>
    <w:p w14:paraId="2D8E3D90" w14:textId="77777777" w:rsidR="00FB77ED" w:rsidRDefault="00000000">
      <w:r>
        <w:br w:type="page"/>
      </w:r>
    </w:p>
    <w:sectPr w:rsidR="00FB77ED" w:rsidSect="00A132BD">
      <w:pgSz w:w="12240" w:h="15840"/>
      <w:pgMar w:top="426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486921">
    <w:abstractNumId w:val="8"/>
  </w:num>
  <w:num w:numId="2" w16cid:durableId="2131167167">
    <w:abstractNumId w:val="6"/>
  </w:num>
  <w:num w:numId="3" w16cid:durableId="1189182349">
    <w:abstractNumId w:val="5"/>
  </w:num>
  <w:num w:numId="4" w16cid:durableId="820728780">
    <w:abstractNumId w:val="4"/>
  </w:num>
  <w:num w:numId="5" w16cid:durableId="817651796">
    <w:abstractNumId w:val="7"/>
  </w:num>
  <w:num w:numId="6" w16cid:durableId="143158883">
    <w:abstractNumId w:val="3"/>
  </w:num>
  <w:num w:numId="7" w16cid:durableId="110904424">
    <w:abstractNumId w:val="2"/>
  </w:num>
  <w:num w:numId="8" w16cid:durableId="1014957980">
    <w:abstractNumId w:val="1"/>
  </w:num>
  <w:num w:numId="9" w16cid:durableId="129802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32BD"/>
    <w:rsid w:val="00A75EDB"/>
    <w:rsid w:val="00AA1D8D"/>
    <w:rsid w:val="00B47730"/>
    <w:rsid w:val="00CB0664"/>
    <w:rsid w:val="00FB77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55A2F"/>
  <w14:defaultImageDpi w14:val="300"/>
  <w15:docId w15:val="{52B4A715-94DD-44F9-9EB6-23F5329B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 Senniappan</cp:lastModifiedBy>
  <cp:revision>2</cp:revision>
  <dcterms:created xsi:type="dcterms:W3CDTF">2013-12-23T23:15:00Z</dcterms:created>
  <dcterms:modified xsi:type="dcterms:W3CDTF">2026-10-23T09:54:00Z</dcterms:modified>
  <cp:category/>
</cp:coreProperties>
</file>