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39CC" w14:textId="77777777" w:rsidR="00C22AC0" w:rsidRDefault="00000000">
      <w:pPr>
        <w:spacing w:after="40"/>
      </w:pPr>
      <w:proofErr w:type="spellStart"/>
      <w:r>
        <w:rPr>
          <w:rFonts w:ascii="Calibri" w:hAnsi="Calibri"/>
          <w:b/>
          <w:color w:val="13325B"/>
          <w:sz w:val="40"/>
        </w:rPr>
        <w:t>Finkraft</w:t>
      </w:r>
      <w:proofErr w:type="spellEnd"/>
      <w:r>
        <w:rPr>
          <w:rFonts w:ascii="Calibri" w:hAnsi="Calibri"/>
          <w:b/>
          <w:color w:val="13325B"/>
          <w:sz w:val="40"/>
        </w:rPr>
        <w:t xml:space="preserve"> B2B E-Invoicing Platform: Master CTO Submission</w:t>
      </w:r>
    </w:p>
    <w:p w14:paraId="79411DB9" w14:textId="36A319C3" w:rsidR="00C22AC0" w:rsidRDefault="00000000" w:rsidP="00D804A1">
      <w:pPr>
        <w:spacing w:after="0"/>
      </w:pPr>
      <w:r>
        <w:rPr>
          <w:rFonts w:ascii="Calibri" w:hAnsi="Calibri"/>
          <w:color w:val="646E78"/>
          <w:sz w:val="20"/>
        </w:rPr>
        <w:t xml:space="preserve">UAE Federal Tax Authority (FTA) </w:t>
      </w:r>
      <w:proofErr w:type="spellStart"/>
      <w:r>
        <w:rPr>
          <w:rFonts w:ascii="Calibri" w:hAnsi="Calibri"/>
          <w:color w:val="646E78"/>
          <w:sz w:val="20"/>
        </w:rPr>
        <w:t>Peppol</w:t>
      </w:r>
      <w:proofErr w:type="spellEnd"/>
      <w:r>
        <w:rPr>
          <w:rFonts w:ascii="Calibri" w:hAnsi="Calibri"/>
          <w:color w:val="646E78"/>
          <w:sz w:val="20"/>
        </w:rPr>
        <w:t xml:space="preserve"> 5-Corner DCTCE Compliance Platform</w:t>
      </w:r>
      <w:r>
        <w:rPr>
          <w:rFonts w:ascii="Calibri" w:hAnsi="Calibri"/>
          <w:color w:val="646E78"/>
          <w:sz w:val="20"/>
        </w:rPr>
        <w:br/>
        <w:t xml:space="preserve">Candidate: </w:t>
      </w:r>
      <w:r w:rsidR="00271292">
        <w:rPr>
          <w:rFonts w:ascii="Calibri" w:hAnsi="Calibri"/>
          <w:color w:val="646E78"/>
          <w:sz w:val="20"/>
        </w:rPr>
        <w:t>Srinivas Senniappan</w:t>
      </w:r>
      <w:r>
        <w:rPr>
          <w:rFonts w:ascii="Calibri" w:hAnsi="Calibri"/>
          <w:color w:val="646E78"/>
          <w:sz w:val="20"/>
        </w:rPr>
        <w:t xml:space="preserve"> | Submission Deliverable</w:t>
      </w:r>
      <w:r w:rsidR="00271292">
        <w:rPr>
          <w:rFonts w:ascii="Calibri" w:hAnsi="Calibri"/>
          <w:color w:val="646E78"/>
          <w:sz w:val="20"/>
        </w:rPr>
        <w:t>: Design Note</w:t>
      </w:r>
    </w:p>
    <w:p w14:paraId="521E4182" w14:textId="77777777" w:rsidR="00C22AC0" w:rsidRDefault="00000000" w:rsidP="00D804A1">
      <w:pPr>
        <w:spacing w:after="0"/>
      </w:pPr>
      <w:r>
        <w:rPr>
          <w:color w:val="C8CDD7"/>
        </w:rPr>
        <w:t>―――――――――――――――――――――――――――――――――――――――――――――――――――――――</w:t>
      </w:r>
    </w:p>
    <w:p w14:paraId="6DC40971" w14:textId="4FA8E040" w:rsidR="00C22AC0" w:rsidRDefault="00000000" w:rsidP="00D804A1">
      <w:pPr>
        <w:pStyle w:val="Heading1"/>
        <w:spacing w:before="0"/>
      </w:pPr>
      <w:r>
        <w:rPr>
          <w:rFonts w:ascii="Calibri" w:hAnsi="Calibri"/>
          <w:color w:val="13325B"/>
        </w:rPr>
        <w:t>Part 1: Architecture Design Note</w:t>
      </w:r>
    </w:p>
    <w:p w14:paraId="14AB1F80" w14:textId="77777777" w:rsidR="00C22AC0" w:rsidRDefault="00000000" w:rsidP="00D804A1">
      <w:pPr>
        <w:pStyle w:val="Heading2"/>
        <w:spacing w:before="0"/>
      </w:pPr>
      <w:r>
        <w:rPr>
          <w:rFonts w:ascii="Calibri" w:hAnsi="Calibri"/>
          <w:color w:val="13325B"/>
        </w:rPr>
        <w:t>1. Business Context &amp; Explicit Assumptions</w:t>
      </w:r>
    </w:p>
    <w:p w14:paraId="03E43743" w14:textId="77777777" w:rsidR="00C22AC0" w:rsidRPr="00D804A1" w:rsidRDefault="00000000">
      <w:pPr>
        <w:rPr>
          <w:sz w:val="20"/>
          <w:szCs w:val="20"/>
        </w:rPr>
      </w:pPr>
      <w:r w:rsidRPr="00D804A1">
        <w:rPr>
          <w:sz w:val="20"/>
          <w:szCs w:val="20"/>
        </w:rPr>
        <w:t xml:space="preserve">Under the UAE Federal Tax Authority (FTA) mandate, e-invoicing is governed by a Decentralized Continuous Transaction Control and Exchange (DCTCE) 5-Corner Model: C1 (Seller / </w:t>
      </w:r>
      <w:proofErr w:type="spellStart"/>
      <w:r w:rsidRPr="00D804A1">
        <w:rPr>
          <w:sz w:val="20"/>
          <w:szCs w:val="20"/>
        </w:rPr>
        <w:t>Finkraft</w:t>
      </w:r>
      <w:proofErr w:type="spellEnd"/>
      <w:r w:rsidRPr="00D804A1">
        <w:rPr>
          <w:sz w:val="20"/>
          <w:szCs w:val="20"/>
        </w:rPr>
        <w:t xml:space="preserve"> Customer) -&gt; C2 (Seller ASP / </w:t>
      </w:r>
      <w:proofErr w:type="spellStart"/>
      <w:r w:rsidRPr="00D804A1">
        <w:rPr>
          <w:sz w:val="20"/>
          <w:szCs w:val="20"/>
        </w:rPr>
        <w:t>Finkraft</w:t>
      </w:r>
      <w:proofErr w:type="spellEnd"/>
      <w:r w:rsidRPr="00D804A1">
        <w:rPr>
          <w:sz w:val="20"/>
          <w:szCs w:val="20"/>
        </w:rPr>
        <w:t xml:space="preserve"> Integration Point) -&gt; C3 (Buyer ASP) -&gt; C4 (Buyer), with concurrent C5 (FTA Clearance). Invoice records represent sovereign tax documents: zero invoices may be lost, and zero duplicates may be filed.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22AC0" w14:paraId="66E5147C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24" w:space="0" w:color="13325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28BCEF" w14:textId="77777777" w:rsidR="00C22AC0" w:rsidRDefault="00000000">
            <w:pPr>
              <w:spacing w:after="40"/>
            </w:pPr>
            <w:r>
              <w:rPr>
                <w:rFonts w:ascii="Calibri" w:hAnsi="Calibri"/>
                <w:b/>
                <w:color w:val="13325B"/>
                <w:sz w:val="19"/>
              </w:rPr>
              <w:t>Explicit Architectural Assumptions</w:t>
            </w:r>
            <w:r>
              <w:rPr>
                <w:rFonts w:ascii="Calibri" w:hAnsi="Calibri"/>
                <w:b/>
                <w:color w:val="13325B"/>
                <w:sz w:val="19"/>
              </w:rPr>
              <w:br/>
            </w:r>
            <w:r>
              <w:rPr>
                <w:rFonts w:ascii="Calibri" w:hAnsi="Calibri"/>
                <w:color w:val="232323"/>
                <w:sz w:val="18"/>
              </w:rPr>
              <w:t>* Business Key Uniqueness: Compound key (</w:t>
            </w:r>
            <w:proofErr w:type="spellStart"/>
            <w:r>
              <w:rPr>
                <w:rFonts w:ascii="Calibri" w:hAnsi="Calibri"/>
                <w:color w:val="232323"/>
                <w:sz w:val="18"/>
              </w:rPr>
              <w:t>seller_trn</w:t>
            </w:r>
            <w:proofErr w:type="spellEnd"/>
            <w:r>
              <w:rPr>
                <w:rFonts w:ascii="Calibri" w:hAnsi="Calibri"/>
                <w:color w:val="232323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232323"/>
                <w:sz w:val="18"/>
              </w:rPr>
              <w:t>invoice_number</w:t>
            </w:r>
            <w:proofErr w:type="spellEnd"/>
            <w:r>
              <w:rPr>
                <w:rFonts w:ascii="Calibri" w:hAnsi="Calibri"/>
                <w:color w:val="232323"/>
                <w:sz w:val="18"/>
              </w:rPr>
              <w:t>) is globally unique and immutable.</w:t>
            </w:r>
            <w:r>
              <w:rPr>
                <w:rFonts w:ascii="Calibri" w:hAnsi="Calibri"/>
                <w:color w:val="232323"/>
                <w:sz w:val="18"/>
              </w:rPr>
              <w:br/>
              <w:t xml:space="preserve">* Pre-Submission Enrichment: </w:t>
            </w:r>
            <w:proofErr w:type="spellStart"/>
            <w:r>
              <w:rPr>
                <w:rFonts w:ascii="Calibri" w:hAnsi="Calibri"/>
                <w:color w:val="232323"/>
                <w:sz w:val="18"/>
              </w:rPr>
              <w:t>Finkraft</w:t>
            </w:r>
            <w:proofErr w:type="spellEnd"/>
            <w:r>
              <w:rPr>
                <w:rFonts w:ascii="Calibri" w:hAnsi="Calibri"/>
                <w:color w:val="232323"/>
                <w:sz w:val="18"/>
              </w:rPr>
              <w:t xml:space="preserve"> validates and enriches raw customer feeds into compliant PINT AE UBL 2.1 XML prior to ASP dispatch. Schema errors (BT-48, bad TRNs) are trapped internally.</w:t>
            </w:r>
            <w:r>
              <w:rPr>
                <w:rFonts w:ascii="Calibri" w:hAnsi="Calibri"/>
                <w:color w:val="232323"/>
                <w:sz w:val="18"/>
              </w:rPr>
              <w:br/>
              <w:t>* ASP A Profile: Synchronous POST /invoices (200), polling GET, 409 duplicate check, 10 req/s limit; network timeouts occasionally occur AFTER acceptance.</w:t>
            </w:r>
            <w:r>
              <w:rPr>
                <w:rFonts w:ascii="Calibri" w:hAnsi="Calibri"/>
                <w:color w:val="232323"/>
                <w:sz w:val="18"/>
              </w:rPr>
              <w:br/>
              <w:t>* ASP B Profile: Asynchronous POST /v2/submissions (202), webhooks only, ZERO duplicate checks, out-of-order/duplicate webhooks.</w:t>
            </w:r>
            <w:r>
              <w:rPr>
                <w:rFonts w:ascii="Calibri" w:hAnsi="Calibri"/>
                <w:color w:val="232323"/>
                <w:sz w:val="18"/>
              </w:rPr>
              <w:br/>
              <w:t>* ASP Switching: In-flight invoices finish tracking on originating ASP adapter; new submissions route to updated preferred ASP.</w:t>
            </w:r>
          </w:p>
        </w:tc>
      </w:tr>
    </w:tbl>
    <w:p w14:paraId="76045AD5" w14:textId="77777777" w:rsidR="00C22AC0" w:rsidRDefault="00000000" w:rsidP="00D804A1">
      <w:pPr>
        <w:pStyle w:val="Heading2"/>
        <w:spacing w:before="0"/>
      </w:pPr>
      <w:r>
        <w:rPr>
          <w:rFonts w:ascii="Calibri" w:hAnsi="Calibri"/>
          <w:color w:val="13325B"/>
        </w:rPr>
        <w:t>2. Unified Adapter Contract &amp; Dynamic ASP Switching</w:t>
      </w:r>
    </w:p>
    <w:p w14:paraId="201D8DB3" w14:textId="77777777" w:rsidR="00C22AC0" w:rsidRPr="00D804A1" w:rsidRDefault="00000000" w:rsidP="00D804A1">
      <w:pPr>
        <w:spacing w:after="0"/>
        <w:rPr>
          <w:sz w:val="20"/>
          <w:szCs w:val="20"/>
        </w:rPr>
      </w:pPr>
      <w:r w:rsidRPr="00D804A1">
        <w:rPr>
          <w:sz w:val="20"/>
          <w:szCs w:val="20"/>
        </w:rPr>
        <w:t xml:space="preserve">To shield core business logic from ASP idiosyncrasies, </w:t>
      </w:r>
      <w:proofErr w:type="spellStart"/>
      <w:r w:rsidRPr="00D804A1">
        <w:rPr>
          <w:sz w:val="20"/>
          <w:szCs w:val="20"/>
        </w:rPr>
        <w:t>Finkraft</w:t>
      </w:r>
      <w:proofErr w:type="spellEnd"/>
      <w:r w:rsidRPr="00D804A1">
        <w:rPr>
          <w:sz w:val="20"/>
          <w:szCs w:val="20"/>
        </w:rPr>
        <w:t xml:space="preserve"> implements an extensible Adapter Pattern coordinated via </w:t>
      </w:r>
      <w:proofErr w:type="spellStart"/>
      <w:r w:rsidRPr="00D804A1">
        <w:rPr>
          <w:sz w:val="20"/>
          <w:szCs w:val="20"/>
        </w:rPr>
        <w:t>ASPRegistry</w:t>
      </w:r>
      <w:proofErr w:type="spellEnd"/>
      <w:r w:rsidRPr="00D804A1">
        <w:rPr>
          <w:sz w:val="20"/>
          <w:szCs w:val="20"/>
        </w:rPr>
        <w:t>. Customers switch or add ASPs dynamically without codebase changes.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304"/>
        <w:gridCol w:w="2016"/>
        <w:gridCol w:w="3744"/>
      </w:tblGrid>
      <w:tr w:rsidR="00C22AC0" w14:paraId="5AB7B326" w14:textId="77777777">
        <w:trPr>
          <w:jc w:val="center"/>
        </w:trPr>
        <w:tc>
          <w:tcPr>
            <w:tcW w:w="2016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D1CA4B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Method</w:t>
            </w:r>
          </w:p>
        </w:tc>
        <w:tc>
          <w:tcPr>
            <w:tcW w:w="2304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A76EA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Input Signature</w:t>
            </w:r>
          </w:p>
        </w:tc>
        <w:tc>
          <w:tcPr>
            <w:tcW w:w="2016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C0B66B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Output Return</w:t>
            </w:r>
          </w:p>
        </w:tc>
        <w:tc>
          <w:tcPr>
            <w:tcW w:w="3744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2DE52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Operational Purpose</w:t>
            </w:r>
          </w:p>
        </w:tc>
      </w:tr>
      <w:tr w:rsidR="00C22AC0" w14:paraId="662B731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09DF5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submit_invoice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8A216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CanonicalInvoice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 xml:space="preserve"> (PINT AE)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EF6EB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SubmissionResult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34F70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Dispatches payload; normalizes sync (ASP A) vs async job (ASP B).</w:t>
            </w:r>
          </w:p>
        </w:tc>
      </w:tr>
      <w:tr w:rsidR="00C22AC0" w14:paraId="721631C4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C5AC8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poll_status</w:t>
            </w:r>
            <w:proofErr w:type="spellEnd"/>
          </w:p>
        </w:tc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3816D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external_id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>: str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8F31C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StatusUpdate</w:t>
            </w:r>
            <w:proofErr w:type="spellEnd"/>
          </w:p>
        </w:tc>
        <w:tc>
          <w:tcPr>
            <w:tcW w:w="374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36212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 xml:space="preserve">Polls status for GET ASPs (A); raises 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NotSupported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 xml:space="preserve"> for webhook-only ASPs.</w:t>
            </w:r>
          </w:p>
        </w:tc>
      </w:tr>
      <w:tr w:rsidR="00C22AC0" w14:paraId="7A4B12F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01540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parse_webhook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C2B91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 xml:space="preserve">headers: 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dict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 xml:space="preserve">, payload: 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dict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02210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StatusUpdate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75EC3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Verifies HMAC signature, deduplicates event ID, normalizes C3/C5 status.</w:t>
            </w:r>
          </w:p>
        </w:tc>
      </w:tr>
      <w:tr w:rsidR="00C22AC0" w14:paraId="3F70A6D7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474F0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get_capabilities</w:t>
            </w:r>
            <w:proofErr w:type="spellEnd"/>
          </w:p>
        </w:tc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6ECEF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None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C6D2F" w14:textId="77777777" w:rsidR="00C22AC0" w:rsidRDefault="00000000">
            <w:proofErr w:type="spellStart"/>
            <w:r>
              <w:rPr>
                <w:rFonts w:ascii="Calibri" w:hAnsi="Calibri"/>
                <w:color w:val="232323"/>
                <w:sz w:val="16"/>
              </w:rPr>
              <w:t>ASPCapabilities</w:t>
            </w:r>
            <w:proofErr w:type="spellEnd"/>
          </w:p>
        </w:tc>
        <w:tc>
          <w:tcPr>
            <w:tcW w:w="374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56E2E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 xml:space="preserve">Exposes rate limits (10 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rps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>), sync/async traits, and native idempotency flags.</w:t>
            </w:r>
          </w:p>
        </w:tc>
      </w:tr>
    </w:tbl>
    <w:p w14:paraId="7C7BB696" w14:textId="77777777" w:rsidR="00C22AC0" w:rsidRDefault="00000000">
      <w:pPr>
        <w:pStyle w:val="Heading2"/>
      </w:pPr>
      <w:r>
        <w:rPr>
          <w:rFonts w:ascii="Calibri" w:hAnsi="Calibri"/>
          <w:color w:val="13325B"/>
        </w:rPr>
        <w:t>3. Invoice State Machine &amp; Normalization Matrix</w:t>
      </w:r>
    </w:p>
    <w:p w14:paraId="31189540" w14:textId="77777777" w:rsidR="00C22AC0" w:rsidRPr="00D804A1" w:rsidRDefault="00000000" w:rsidP="00D804A1">
      <w:pPr>
        <w:spacing w:after="0"/>
        <w:rPr>
          <w:sz w:val="20"/>
          <w:szCs w:val="20"/>
        </w:rPr>
      </w:pPr>
      <w:proofErr w:type="spellStart"/>
      <w:r w:rsidRPr="00D804A1">
        <w:rPr>
          <w:sz w:val="20"/>
          <w:szCs w:val="20"/>
        </w:rPr>
        <w:t>Finkraft</w:t>
      </w:r>
      <w:proofErr w:type="spellEnd"/>
      <w:r w:rsidRPr="00D804A1">
        <w:rPr>
          <w:sz w:val="20"/>
          <w:szCs w:val="20"/>
        </w:rPr>
        <w:t xml:space="preserve"> manages an internal state machine that decouples internal lifecycle management from ASP-specific statuses. Milestones c3_delivered_at and c5_reported_at accumulate independently to resolve into COMPLIANT_AND_DELIVERED.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2016"/>
        <w:gridCol w:w="4032"/>
      </w:tblGrid>
      <w:tr w:rsidR="00C22AC0" w14:paraId="6080DB77" w14:textId="77777777">
        <w:trPr>
          <w:jc w:val="center"/>
        </w:trPr>
        <w:tc>
          <w:tcPr>
            <w:tcW w:w="1872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227C5D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ASP A Status</w:t>
            </w:r>
          </w:p>
        </w:tc>
        <w:tc>
          <w:tcPr>
            <w:tcW w:w="2160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09B389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ASP B Status</w:t>
            </w:r>
          </w:p>
        </w:tc>
        <w:tc>
          <w:tcPr>
            <w:tcW w:w="2016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3947A5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Normalized Status</w:t>
            </w:r>
          </w:p>
        </w:tc>
        <w:tc>
          <w:tcPr>
            <w:tcW w:w="4032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E3340" w14:textId="77777777" w:rsidR="00C22AC0" w:rsidRDefault="00000000"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Finkraft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 xml:space="preserve"> Internal State &amp; Target</w:t>
            </w:r>
          </w:p>
        </w:tc>
      </w:tr>
      <w:tr w:rsidR="00C22AC0" w14:paraId="58FCB00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4D6E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RECEIVED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74FB3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QUEUED / ACCEPTED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5E98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ACKNOWLEDGED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EBB85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ACKNOWLEDGED_C2 (Payload accepted by C2 ASP)</w:t>
            </w:r>
          </w:p>
        </w:tc>
      </w:tr>
      <w:tr w:rsidR="00C22AC0" w14:paraId="799CE4B4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A377D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VALIDATED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F97AB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N/A (Implicit)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A4C45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VALIDATED</w:t>
            </w:r>
          </w:p>
        </w:tc>
        <w:tc>
          <w:tcPr>
            <w:tcW w:w="403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CC20B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 xml:space="preserve">VALIDATED_C2 (ASP schema &amp; PEPPOL signature </w:t>
            </w:r>
            <w:r>
              <w:rPr>
                <w:rFonts w:ascii="Calibri" w:hAnsi="Calibri"/>
                <w:color w:val="232323"/>
                <w:sz w:val="16"/>
              </w:rPr>
              <w:lastRenderedPageBreak/>
              <w:t>verified)</w:t>
            </w:r>
          </w:p>
        </w:tc>
      </w:tr>
      <w:tr w:rsidR="00C22AC0" w14:paraId="1FF6B48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EBCE3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lastRenderedPageBreak/>
              <w:t>DELIVERED (C3)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10EBB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BUYER_RECEIVED (C3)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EF39A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DELIVERED_C3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42259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DELIVERED_C3 (or COMPLIANT_AND_DELIVERED if C5 already recorded)</w:t>
            </w:r>
          </w:p>
        </w:tc>
      </w:tr>
      <w:tr w:rsidR="00C22AC0" w14:paraId="61ABD9E0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7A296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REPORTED (C5)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539A5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TAX_CONFIRMED (C5)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15106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REPORTED_C5</w:t>
            </w:r>
          </w:p>
        </w:tc>
        <w:tc>
          <w:tcPr>
            <w:tcW w:w="403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E241B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REPORTED_C5 (or COMPLIANT_AND_DELIVERED if C3 already recorded)</w:t>
            </w:r>
          </w:p>
        </w:tc>
      </w:tr>
      <w:tr w:rsidR="00C22AC0" w14:paraId="005D2B5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25DD0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REJECTED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5BC91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FAILED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FF5DF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REJECTED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834C5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REJECTED (Terminal failure; captures BT-xx schema/tax errors)</w:t>
            </w:r>
          </w:p>
        </w:tc>
      </w:tr>
    </w:tbl>
    <w:p w14:paraId="061F7AA2" w14:textId="77777777" w:rsidR="00C22AC0" w:rsidRDefault="00000000" w:rsidP="00D804A1">
      <w:pPr>
        <w:pStyle w:val="Heading2"/>
        <w:spacing w:before="0"/>
      </w:pPr>
      <w:r>
        <w:rPr>
          <w:rFonts w:ascii="Calibri" w:hAnsi="Calibri"/>
          <w:color w:val="13325B"/>
        </w:rPr>
        <w:t>4. Failure Handling &amp; Reliability Engineering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312"/>
        <w:gridCol w:w="4464"/>
      </w:tblGrid>
      <w:tr w:rsidR="00C22AC0" w14:paraId="641F4A32" w14:textId="77777777">
        <w:trPr>
          <w:jc w:val="center"/>
        </w:trPr>
        <w:tc>
          <w:tcPr>
            <w:tcW w:w="2304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B049EA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Failure Mode</w:t>
            </w:r>
          </w:p>
        </w:tc>
        <w:tc>
          <w:tcPr>
            <w:tcW w:w="3312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10505D" w14:textId="77777777" w:rsidR="00C22AC0" w:rsidRDefault="00000000">
            <w:r>
              <w:rPr>
                <w:rFonts w:ascii="Calibri" w:hAnsi="Calibri"/>
                <w:b/>
                <w:color w:val="FFFFFF"/>
                <w:sz w:val="17"/>
              </w:rPr>
              <w:t>Root Cause &amp; Business Risk</w:t>
            </w:r>
          </w:p>
        </w:tc>
        <w:tc>
          <w:tcPr>
            <w:tcW w:w="4464" w:type="dxa"/>
            <w:shd w:val="clear" w:color="auto" w:fill="13325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7A7DB" w14:textId="77777777" w:rsidR="00C22AC0" w:rsidRDefault="00000000"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Finkraft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 xml:space="preserve"> Technical Mitigation</w:t>
            </w:r>
          </w:p>
        </w:tc>
      </w:tr>
      <w:tr w:rsidR="00C22AC0" w14:paraId="08D0861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E57C0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Submission Timeout (ASP A)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936B1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ASP A times out AFTER invoice accepted. Naive retries duplicate invoices or fail.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40B41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Quarantine to SUBMISSION_AMBIGUOUS. Automatic retries strictly banned. Background active reconciliation queries ASP A by invoice number. If found, advances to ACKNOWLEDGED_C2; if absent, safe retry.</w:t>
            </w:r>
          </w:p>
        </w:tc>
      </w:tr>
      <w:tr w:rsidR="00C22AC0" w14:paraId="02B068F7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60E01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Duplicate Submissions (ASP B)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425C9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ASP B has ZERO duplicate checks. Re-submitting creates duplicate tax records at FTA.</w:t>
            </w:r>
          </w:p>
        </w:tc>
        <w:tc>
          <w:tcPr>
            <w:tcW w:w="446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A7FAA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Client-Side Pessimistic Idempotency Lock: DB unique index on (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seller_trn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 xml:space="preserve">, 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invoice_number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 xml:space="preserve">) + atomic compare-and-swap (VALIDATED -&gt; SUBMITTING). In-memory repository catches 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DuplicateInvoiceError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>.</w:t>
            </w:r>
          </w:p>
        </w:tc>
      </w:tr>
      <w:tr w:rsidR="00C22AC0" w14:paraId="16D60BC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774CB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Out-of-Order Webhooks (ASP B)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857E7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TAX_CONFIRMED (C5) arrives before BUYER_RECEIVED (C3).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126B0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Milestone Lattice Resolution: Tracks independent c3_delivered_at and c5_reported_at timestamps. Invoice transitions to COMPLIANT_AND_DELIVERED as soon as both milestones are satisfied.</w:t>
            </w:r>
          </w:p>
        </w:tc>
      </w:tr>
      <w:tr w:rsidR="00C22AC0" w14:paraId="45DE4FB8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D881D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Late / Duplicate Webhooks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B7F53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ASP B re-delivers callbacks hours later.</w:t>
            </w:r>
          </w:p>
        </w:tc>
        <w:tc>
          <w:tcPr>
            <w:tcW w:w="446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0753B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Idempotent Webhook Event Ledger: Unique constraint on (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asp_id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 xml:space="preserve">, </w:t>
            </w:r>
            <w:proofErr w:type="spellStart"/>
            <w:r>
              <w:rPr>
                <w:rFonts w:ascii="Calibri" w:hAnsi="Calibri"/>
                <w:color w:val="232323"/>
                <w:sz w:val="16"/>
              </w:rPr>
              <w:t>event_id</w:t>
            </w:r>
            <w:proofErr w:type="spellEnd"/>
            <w:r>
              <w:rPr>
                <w:rFonts w:ascii="Calibri" w:hAnsi="Calibri"/>
                <w:color w:val="232323"/>
                <w:sz w:val="16"/>
              </w:rPr>
              <w:t>). Duplicates return HTTP 200 immediately. Monotonic transition guards reject retroactive state regressions as safe no-ops.</w:t>
            </w:r>
          </w:p>
        </w:tc>
      </w:tr>
      <w:tr w:rsidR="00C22AC0" w14:paraId="39A5E39B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52646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ASP A Rate Limiting (10 req/s)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A42DD" w14:textId="77777777" w:rsidR="00C22AC0" w:rsidRDefault="00000000" w:rsidP="00D804A1">
            <w:pPr>
              <w:spacing w:after="0"/>
            </w:pPr>
            <w:r>
              <w:rPr>
                <w:rFonts w:ascii="Calibri" w:hAnsi="Calibri"/>
                <w:color w:val="232323"/>
                <w:sz w:val="16"/>
              </w:rPr>
              <w:t>Bulk upload bursts exceed ASP A quota (429).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406CF" w14:textId="77777777" w:rsidR="00C22AC0" w:rsidRDefault="00000000">
            <w:r>
              <w:rPr>
                <w:rFonts w:ascii="Calibri" w:hAnsi="Calibri"/>
                <w:color w:val="232323"/>
                <w:sz w:val="16"/>
              </w:rPr>
              <w:t>Token-Bucket Egress Throttler: Dispatcher meters traffic to 10 req/s per tenant. Excess jobs remain buffered in persistent queues with exponential jittered backoff.</w:t>
            </w:r>
          </w:p>
        </w:tc>
      </w:tr>
    </w:tbl>
    <w:p w14:paraId="67306E30" w14:textId="77777777" w:rsidR="00C22AC0" w:rsidRDefault="00000000" w:rsidP="00D804A1">
      <w:pPr>
        <w:pStyle w:val="Heading2"/>
        <w:spacing w:before="0"/>
      </w:pPr>
      <w:r>
        <w:rPr>
          <w:rFonts w:ascii="Calibri" w:hAnsi="Calibri"/>
          <w:color w:val="13325B"/>
        </w:rPr>
        <w:t>5. Architectural Trade-offs &amp; Strategic Decisions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22AC0" w14:paraId="44F2BECF" w14:textId="77777777">
        <w:trPr>
          <w:jc w:val="center"/>
        </w:trPr>
        <w:tc>
          <w:tcPr>
            <w:tcW w:w="10080" w:type="dxa"/>
            <w:tcBorders>
              <w:top w:val="single" w:sz="4" w:space="0" w:color="93C5FD"/>
              <w:left w:val="single" w:sz="24" w:space="0" w:color="13325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000CAA" w14:textId="77777777" w:rsidR="00C22AC0" w:rsidRDefault="00000000">
            <w:pPr>
              <w:spacing w:after="40"/>
            </w:pPr>
            <w:r>
              <w:rPr>
                <w:rFonts w:ascii="Calibri" w:hAnsi="Calibri"/>
                <w:b/>
                <w:color w:val="13325B"/>
                <w:sz w:val="19"/>
              </w:rPr>
              <w:t>Key Architectural Trade-offs</w:t>
            </w:r>
            <w:r>
              <w:rPr>
                <w:rFonts w:ascii="Calibri" w:hAnsi="Calibri"/>
                <w:b/>
                <w:color w:val="13325B"/>
                <w:sz w:val="19"/>
              </w:rPr>
              <w:br/>
            </w:r>
            <w:r>
              <w:rPr>
                <w:rFonts w:ascii="Calibri" w:hAnsi="Calibri"/>
                <w:color w:val="232323"/>
                <w:sz w:val="18"/>
              </w:rPr>
              <w:t>Decision 1: Asynchronous Unified Event-Driven Pipeline vs. Synchronous Passthrough</w:t>
            </w:r>
            <w:r>
              <w:rPr>
                <w:rFonts w:ascii="Calibri" w:hAnsi="Calibri"/>
                <w:color w:val="232323"/>
                <w:sz w:val="18"/>
              </w:rPr>
              <w:br/>
              <w:t>* Choice: Unified async ingestion for both ASPs. Bulk uploads receive immediate HTTP 202 with internal receipt.</w:t>
            </w:r>
            <w:r>
              <w:rPr>
                <w:rFonts w:ascii="Calibri" w:hAnsi="Calibri"/>
                <w:color w:val="232323"/>
                <w:sz w:val="18"/>
              </w:rPr>
              <w:br/>
              <w:t>* What We Gained: Vendor portability (customers switch ASPs without API changes); absorbs ASP A 10 req/s quota; fault isolation.</w:t>
            </w:r>
            <w:r>
              <w:rPr>
                <w:rFonts w:ascii="Calibri" w:hAnsi="Calibri"/>
                <w:color w:val="232323"/>
                <w:sz w:val="18"/>
              </w:rPr>
              <w:br/>
              <w:t>* What We Sacrificed: Single-invoice POS clients cannot get synchronous C2 clearance within the same HTTP connection.</w:t>
            </w:r>
            <w:r>
              <w:rPr>
                <w:rFonts w:ascii="Calibri" w:hAnsi="Calibri"/>
                <w:color w:val="232323"/>
                <w:sz w:val="18"/>
              </w:rPr>
              <w:br/>
            </w:r>
            <w:r>
              <w:rPr>
                <w:rFonts w:ascii="Calibri" w:hAnsi="Calibri"/>
                <w:color w:val="232323"/>
                <w:sz w:val="18"/>
              </w:rPr>
              <w:br/>
              <w:t>Decision 2: Pessimistic Idempotency &amp; Reconciliation Quarantine vs. Optimistic Fast Retries</w:t>
            </w:r>
            <w:r>
              <w:rPr>
                <w:rFonts w:ascii="Calibri" w:hAnsi="Calibri"/>
                <w:color w:val="232323"/>
                <w:sz w:val="18"/>
              </w:rPr>
              <w:br/>
              <w:t>* Choice: Strict unique index on (</w:t>
            </w:r>
            <w:proofErr w:type="spellStart"/>
            <w:r>
              <w:rPr>
                <w:rFonts w:ascii="Calibri" w:hAnsi="Calibri"/>
                <w:color w:val="232323"/>
                <w:sz w:val="18"/>
              </w:rPr>
              <w:t>seller_trn</w:t>
            </w:r>
            <w:proofErr w:type="spellEnd"/>
            <w:r>
              <w:rPr>
                <w:rFonts w:ascii="Calibri" w:hAnsi="Calibri"/>
                <w:color w:val="232323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232323"/>
                <w:sz w:val="18"/>
              </w:rPr>
              <w:t>invoice_number</w:t>
            </w:r>
            <w:proofErr w:type="spellEnd"/>
            <w:r>
              <w:rPr>
                <w:rFonts w:ascii="Calibri" w:hAnsi="Calibri"/>
                <w:color w:val="232323"/>
                <w:sz w:val="18"/>
              </w:rPr>
              <w:t>) + quarantine state (SUBMISSION_AMBIGUOUS).</w:t>
            </w:r>
            <w:r>
              <w:rPr>
                <w:rFonts w:ascii="Calibri" w:hAnsi="Calibri"/>
                <w:color w:val="232323"/>
                <w:sz w:val="18"/>
              </w:rPr>
              <w:br/>
              <w:t>* What We Gained: 100% guarantee against duplicate tax reporting to UAE FTA (zero customer tax penalties); tamper-proof audit trail.</w:t>
            </w:r>
            <w:r>
              <w:rPr>
                <w:rFonts w:ascii="Calibri" w:hAnsi="Calibri"/>
                <w:color w:val="232323"/>
                <w:sz w:val="18"/>
              </w:rPr>
              <w:br/>
              <w:t>* What We Sacrificed: Recovery latency (ambiguous network glitches resolve via 30s recon worker rather than 1s instant retry).</w:t>
            </w:r>
          </w:p>
        </w:tc>
      </w:tr>
    </w:tbl>
    <w:p w14:paraId="160158CF" w14:textId="460FBAFE" w:rsidR="00C22AC0" w:rsidRDefault="00C22AC0"/>
    <w:sectPr w:rsidR="00C22AC0" w:rsidSect="00D804A1">
      <w:pgSz w:w="12240" w:h="15840"/>
      <w:pgMar w:top="1080" w:right="1080" w:bottom="56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369777">
    <w:abstractNumId w:val="8"/>
  </w:num>
  <w:num w:numId="2" w16cid:durableId="1570270360">
    <w:abstractNumId w:val="6"/>
  </w:num>
  <w:num w:numId="3" w16cid:durableId="1927374136">
    <w:abstractNumId w:val="5"/>
  </w:num>
  <w:num w:numId="4" w16cid:durableId="333458808">
    <w:abstractNumId w:val="4"/>
  </w:num>
  <w:num w:numId="5" w16cid:durableId="1990406118">
    <w:abstractNumId w:val="7"/>
  </w:num>
  <w:num w:numId="6" w16cid:durableId="332608846">
    <w:abstractNumId w:val="3"/>
  </w:num>
  <w:num w:numId="7" w16cid:durableId="1340473940">
    <w:abstractNumId w:val="2"/>
  </w:num>
  <w:num w:numId="8" w16cid:durableId="130248717">
    <w:abstractNumId w:val="1"/>
  </w:num>
  <w:num w:numId="9" w16cid:durableId="200850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292"/>
    <w:rsid w:val="0029639D"/>
    <w:rsid w:val="00326F90"/>
    <w:rsid w:val="00622D2E"/>
    <w:rsid w:val="00AA1D8D"/>
    <w:rsid w:val="00B47730"/>
    <w:rsid w:val="00C22AC0"/>
    <w:rsid w:val="00CB0664"/>
    <w:rsid w:val="00D804A1"/>
    <w:rsid w:val="00DC0722"/>
    <w:rsid w:val="00F22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BF7FE"/>
  <w14:defaultImageDpi w14:val="300"/>
  <w15:docId w15:val="{FCCFE048-C6D1-4710-8B37-84B551C1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Senniappan</cp:lastModifiedBy>
  <cp:revision>4</cp:revision>
  <dcterms:created xsi:type="dcterms:W3CDTF">2013-12-23T23:15:00Z</dcterms:created>
  <dcterms:modified xsi:type="dcterms:W3CDTF">2026-10-23T09:45:00Z</dcterms:modified>
  <cp:category/>
</cp:coreProperties>
</file>