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pPr>
        <w:spacing w:before="480" w:after="120"/>
        <w:jc w:val="center"/>
      </w:pPr>
      <w:r>
        <w:rPr>
          <w:rFonts w:ascii="Arial" w:cs="Arial" w:eastAsia="Arial" w:hAnsi="Arial"/>
          <w:b/>
          <w:bCs/>
          <w:color w:val="1F4E79"/>
          <w:sz w:val="64"/>
          <w:szCs w:val="64"/>
        </w:rPr>
        <w:t xml:space="preserve">FROM REACT TO KOTLIN/KMP</w:t>
      </w:r>
    </w:p>
    <w:p>
      <w:pPr>
        <w:spacing w:before="0" w:after="120"/>
        <w:jc w:val="center"/>
      </w:pPr>
      <w:r>
        <w:rPr>
          <w:rFonts w:ascii="Arial" w:cs="Arial" w:eastAsia="Arial" w:hAnsi="Arial"/>
          <w:color w:val="2E75B6"/>
          <w:sz w:val="36"/>
          <w:szCs w:val="36"/>
        </w:rPr>
        <w:t xml:space="preserve">A Cross-Enterprise Value Analysis</w:t>
      </w:r>
    </w:p>
    <w:p>
      <w:pPr>
        <w:pBdr>
          <w:bottom w:val="single" w:color="1ABC9C" w:sz="12" w:space="1"/>
        </w:pBdr>
        <w:spacing w:before="0" w:after="480"/>
        <w:jc w:val="center"/>
      </w:pPr>
      <w:r>
        <w:rPr>
          <w:rFonts w:ascii="Arial" w:cs="Arial" w:eastAsia="Arial" w:hAnsi="Arial"/>
          <w:i/>
          <w:iCs/>
          <w:color w:val="555555"/>
          <w:sz w:val="28"/>
          <w:szCs w:val="28"/>
        </w:rPr>
        <w:t xml:space="preserve">With Hoon-Philosophy Formal Verification Layer</w:t>
      </w:r>
    </w:p>
    <w:p>
      <w:r>
        <w:rPr>
          <w:sz w:val="20"/>
          <w:szCs w:val="20"/>
        </w:rPr>
        <w:t xml:space="preserve"/>
      </w:r>
    </w:p>
    <w:p>
      <w:r>
        <w:rPr>
          <w:sz w:val="20"/>
          <w:szCs w:val="20"/>
        </w:rPr>
        <w:t xml:space="preserve"/>
      </w:r>
    </w:p>
    <w:p>
      <w:pPr>
        <w:spacing w:before="240" w:after="60"/>
        <w:jc w:val="center"/>
      </w:pPr>
      <w:r>
        <w:rPr>
          <w:rFonts w:ascii="Arial" w:cs="Arial" w:eastAsia="Arial" w:hAnsi="Arial"/>
          <w:b/>
          <w:bCs/>
          <w:color w:val="1ABC9C"/>
          <w:sz w:val="72"/>
          <w:szCs w:val="72"/>
        </w:rPr>
        <w:t xml:space="preserve">$3.92 Trillion</w:t>
      </w:r>
    </w:p>
    <w:p>
      <w:pPr>
        <w:spacing w:before="0" w:after="480"/>
        <w:jc w:val="center"/>
      </w:pPr>
      <w:r>
        <w:rPr>
          <w:rFonts w:ascii="Arial" w:cs="Arial" w:eastAsia="Arial" w:hAnsi="Arial"/>
          <w:color w:val="555555"/>
          <w:sz w:val="24"/>
          <w:szCs w:val="24"/>
        </w:rPr>
        <w:t xml:space="preserve">Conservative 10-Year NPV Across 16 Analytical Surfaces</w:t>
      </w:r>
    </w:p>
    <w:p>
      <w:r>
        <w:rPr>
          <w:sz w:val="20"/>
          <w:szCs w:val="20"/>
        </w:rPr>
        <w:t xml:space="preserve"/>
      </w:r>
    </w:p>
    <w:p>
      <w:r>
        <w:rPr>
          <w:sz w:val="20"/>
          <w:szCs w:val="20"/>
        </w:rPr>
        <w:t xml:space="preserve"/>
      </w:r>
    </w:p>
    <w:p>
      <w:r>
        <w:rPr>
          <w:sz w:val="20"/>
          <w:szCs w:val="20"/>
        </w:rPr>
        <w:t xml:space="preserve"/>
      </w:r>
    </w:p>
    <w:p>
      <w:pPr>
        <w:spacing w:before="240" w:after="60"/>
        <w:jc w:val="center"/>
      </w:pPr>
      <w:r>
        <w:rPr>
          <w:rFonts w:ascii="Arial" w:cs="Arial" w:eastAsia="Arial" w:hAnsi="Arial"/>
          <w:i/>
          <w:iCs/>
          <w:color w:val="888888"/>
          <w:sz w:val="20"/>
          <w:szCs w:val="20"/>
        </w:rPr>
        <w:t xml:space="preserve">Originated, Developed, and Owned By</w:t>
      </w:r>
    </w:p>
    <w:p>
      <w:pPr>
        <w:spacing w:before="0" w:after="60"/>
        <w:jc w:val="center"/>
      </w:pPr>
      <w:r>
        <w:rPr>
          <w:rFonts w:ascii="Arial" w:cs="Arial" w:eastAsia="Arial" w:hAnsi="Arial"/>
          <w:b/>
          <w:bCs/>
          <w:color w:val="1F4E79"/>
          <w:sz w:val="24"/>
          <w:szCs w:val="24"/>
        </w:rPr>
        <w:t xml:space="preserve">Senior UX Researcher | HCDE Background</w:t>
      </w:r>
    </w:p>
    <w:p>
      <w:pPr>
        <w:spacing w:before="0" w:after="60"/>
        <w:jc w:val="center"/>
      </w:pPr>
      <w:r>
        <w:rPr>
          <w:rFonts w:ascii="Arial" w:cs="Arial" w:eastAsia="Arial" w:hAnsi="Arial"/>
          <w:color w:val="555555"/>
          <w:sz w:val="22"/>
          <w:szCs w:val="22"/>
        </w:rPr>
        <w:t xml:space="preserve">Program Originator &amp; Implementation Lead</w:t>
      </w:r>
    </w:p>
    <w:p>
      <w:pPr>
        <w:spacing w:before="60" w:after="60"/>
        <w:jc w:val="center"/>
      </w:pPr>
      <w:r>
        <w:rPr>
          <w:rFonts w:ascii="Arial" w:cs="Arial" w:eastAsia="Arial" w:hAnsi="Arial"/>
          <w:color w:val="888888"/>
          <w:sz w:val="20"/>
          <w:szCs w:val="20"/>
        </w:rPr>
        <w:t xml:space="preserve">February 2026</w:t>
      </w:r>
    </w:p>
    <w:p>
      <w:r>
        <w:rPr>
          <w:sz w:val="20"/>
          <w:szCs w:val="20"/>
        </w:rPr>
        <w:t xml:space="preserve"/>
      </w:r>
    </w:p>
    <w:p>
      <w:pPr>
        <w:spacing w:before="120" w:after="0"/>
        <w:jc w:val="center"/>
      </w:pPr>
      <w:r>
        <w:rPr>
          <w:rFonts w:ascii="Arial" w:cs="Arial" w:eastAsia="Arial" w:hAnsi="Arial"/>
          <w:i/>
          <w:iCs/>
          <w:color w:val="888888"/>
          <w:sz w:val="18"/>
          <w:szCs w:val="18"/>
        </w:rPr>
        <w:t xml:space="preserve">This analysis is shared for evaluation purposes only. The originator retains full intellectual ownership and is available for hire to execute the implementation. This is a proposal for a compensated engagement, not a donation of intellectual property.</w:t>
      </w:r>
    </w:p>
    <w:p>
      <w:r>
        <w:br w:type="page"/>
      </w:r>
    </w:p>
    <w:p>
      <w:pPr>
        <w:pStyle w:val="Heading1"/>
      </w:pPr>
      <w:r>
        <w:rPr>
          <w:rFonts w:ascii="Arial" w:cs="Arial" w:eastAsia="Arial" w:hAnsi="Arial"/>
          <w:b/>
          <w:bCs/>
          <w:color w:val="1F4E79"/>
          <w:sz w:val="36"/>
          <w:szCs w:val="36"/>
        </w:rPr>
        <w:t xml:space="preserve">Executive Summary</w:t>
      </w:r>
    </w:p>
    <w:p>
      <w:pPr>
        <w:spacing w:before="120" w:after="120"/>
        <w:jc w:val="left"/>
      </w:pPr>
      <w:r>
        <w:rPr>
          <w:rFonts w:ascii="Arial" w:cs="Arial" w:eastAsia="Arial" w:hAnsi="Arial"/>
          <w:b w:val="false"/>
          <w:bCs w:val="false"/>
          <w:i w:val="false"/>
          <w:iCs w:val="false"/>
          <w:color w:val="000000"/>
          <w:sz w:val="22"/>
          <w:szCs w:val="22"/>
        </w:rPr>
        <w:t xml:space="preserve">This document presents a cross-disciplinary cost-benefit analysis of migrating the software infrastructure of X (Twitter) and eight associated Musk enterprises from React/React Native to Kotlin Multiplatform (KMP), augmented by a formally verified architectural kernel inspired by the design philosophy of Hoon. The analysis extends to US federal government systems via DOGE.</w:t>
      </w:r>
    </w:p>
    <w:p>
      <w:pPr>
        <w:spacing w:before="120" w:after="60"/>
        <w:jc w:val="left"/>
      </w:pPr>
      <w:r>
        <w:rPr>
          <w:rFonts w:ascii="Arial" w:cs="Arial" w:eastAsia="Arial" w:hAnsi="Arial"/>
          <w:b w:val="false"/>
          <w:bCs w:val="false"/>
          <w:i w:val="false"/>
          <w:iCs w:val="false"/>
          <w:color w:val="000000"/>
          <w:sz w:val="22"/>
          <w:szCs w:val="22"/>
        </w:rPr>
        <w:t xml:space="preserve">Sixteen successive analytical passes — spanning HCI research, thermodynamics, information theory, network science, security engineering, organizational behavior, capital markets, LLM inference economics, and formal language theory — converge on a single conclusion: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00"/>
              <w:left w:type="dxa" w:w="300"/>
              <w:bottom w:type="dxa" w:w="200"/>
              <w:right w:type="dxa" w:w="300"/>
            </w:tcMar>
          </w:tcPr>
          <w:p>
            <w:pPr>
              <w:spacing w:before="60" w:after="60"/>
              <w:jc w:val="center"/>
            </w:pPr>
            <w:r>
              <w:rPr>
                <w:rFonts w:ascii="Arial" w:cs="Arial" w:eastAsia="Arial" w:hAnsi="Arial"/>
                <w:b/>
                <w:bCs/>
                <w:color w:val="1F4E79"/>
                <w:sz w:val="24"/>
                <w:szCs w:val="24"/>
              </w:rPr>
              <w:t xml:space="preserve">The architectural case for migration is not merely financially sound.</w:t>
            </w:r>
          </w:p>
          <w:p>
            <w:pPr>
              <w:spacing w:before="60" w:after="60"/>
              <w:jc w:val="center"/>
            </w:pPr>
            <w:r>
              <w:rPr>
                <w:rFonts w:ascii="Arial" w:cs="Arial" w:eastAsia="Arial" w:hAnsi="Arial"/>
                <w:i/>
                <w:iCs/>
                <w:color w:val="333333"/>
                <w:sz w:val="22"/>
                <w:szCs w:val="22"/>
              </w:rPr>
              <w:t xml:space="preserve">At multiple enterprise surfaces — Neuralink, SpaceX, Tesla, The Boring Company — it is an ethical and regulatory imperative.</w:t>
            </w:r>
          </w:p>
        </w:tc>
      </w:tr>
    </w:tbl>
    <w:p>
      <w:r>
        <w:rPr>
          <w:sz w:val="20"/>
          <w:szCs w:val="20"/>
        </w:rPr>
        <w:t xml:space="preserve"/>
      </w:r>
    </w:p>
    <w:p>
      <w:pPr>
        <w:pStyle w:val="Heading2"/>
      </w:pPr>
      <w:r>
        <w:rPr>
          <w:rFonts w:ascii="Arial" w:cs="Arial" w:eastAsia="Arial" w:hAnsi="Arial"/>
          <w:b/>
          <w:bCs/>
          <w:color w:val="2E75B6"/>
          <w:sz w:val="28"/>
          <w:szCs w:val="28"/>
        </w:rPr>
        <w:t xml:space="preserve">Key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Annual Recurring Value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$582.5B – $2.26T/yr</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10-Year NPV (Conservative, 8% discount)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$3.92 Trillion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10-Year NPV (Moderate)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$9.81 Trillion</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10-Year NPV (Aggressive)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$15.22 Trillion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Migration Cost (3-Month Parallel Build)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$5.2M – $10.2M</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Break-Even Post-Cutover (Moderate)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BC9C"/>
                <w:sz w:val="20"/>
                <w:szCs w:val="20"/>
              </w:rPr>
              <w:t xml:space="preserve">~1.9 Days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ROI at Conservative Scenario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~58,000%</w:t>
            </w:r>
          </w:p>
        </w:tc>
      </w:tr>
    </w:tbl>
    <w:p>
      <w:r>
        <w:br w:type="page"/>
      </w:r>
    </w:p>
    <w:p>
      <w:pPr>
        <w:pStyle w:val="Heading1"/>
      </w:pPr>
      <w:r>
        <w:rPr>
          <w:rFonts w:ascii="Arial" w:cs="Arial" w:eastAsia="Arial" w:hAnsi="Arial"/>
          <w:b/>
          <w:bCs/>
          <w:color w:val="1F4E79"/>
          <w:sz w:val="36"/>
          <w:szCs w:val="36"/>
        </w:rPr>
        <w:t xml:space="preserve">The Central Thesis</w:t>
      </w:r>
    </w:p>
    <w:p>
      <w:pPr>
        <w:spacing w:before="120" w:after="120"/>
        <w:jc w:val="left"/>
      </w:pPr>
      <w:r>
        <w:rPr>
          <w:rFonts w:ascii="Arial" w:cs="Arial" w:eastAsia="Arial" w:hAnsi="Arial"/>
          <w:b w:val="false"/>
          <w:bCs w:val="false"/>
          <w:i w:val="false"/>
          <w:iCs w:val="false"/>
          <w:color w:val="000000"/>
          <w:sz w:val="22"/>
          <w:szCs w:val="22"/>
        </w:rPr>
        <w:t xml:space="preserve">React's architecture — virtual DOM reconciliation, runtime type erasure, non-deterministic rendering, and npm's unaudited dependency graph — is a systemic liability across every enterprise surface in this analysis. Its failure modes are not performance tradeoffs. At sufficient scale and safety criticality, they are disqualifying.</w:t>
      </w:r>
    </w:p>
    <w:p>
      <w:pPr>
        <w:pStyle w:val="Heading2"/>
      </w:pPr>
      <w:r>
        <w:rPr>
          <w:rFonts w:ascii="Arial" w:cs="Arial" w:eastAsia="Arial" w:hAnsi="Arial"/>
          <w:b/>
          <w:bCs/>
          <w:color w:val="2E75B6"/>
          <w:sz w:val="28"/>
          <w:szCs w:val="28"/>
        </w:rPr>
        <w:t xml:space="preserve">The Proposed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&amp; Business Logic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Kotlin Multiplatform (KMP)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codebase: Android, iOS, Web (Wasm)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Formal Kernel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Hoon-Philosophy Layer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Battery/payload separation; total computation; minimal primitives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Lean 4 / Kotlin type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Formally verified safety-critical paths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Migration Pattern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Strangler Fig (Parallel Build)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3-month parallel build; feature-flag cutover</w:t>
            </w:r>
          </w:p>
        </w:tc>
      </w:tr>
    </w:tbl>
    <w:p>
      <w:r>
        <w:rPr>
          <w:sz w:val="20"/>
          <w:szCs w:val="20"/>
        </w:rPr>
        <w:t xml:space="preserve"/>
      </w:r>
    </w:p>
    <w:p>
      <w:pPr>
        <w:pStyle w:val="Heading2"/>
      </w:pPr>
      <w:r>
        <w:rPr>
          <w:rFonts w:ascii="Arial" w:cs="Arial" w:eastAsia="Arial" w:hAnsi="Arial"/>
          <w:b/>
          <w:bCs/>
          <w:color w:val="2E75B6"/>
          <w:sz w:val="28"/>
          <w:szCs w:val="28"/>
        </w:rPr>
        <w:t xml:space="preserve">The Hoon-Philosophy Contribution</w:t>
      </w:r>
    </w:p>
    <w:p>
      <w:pPr>
        <w:spacing w:before="120" w:after="80"/>
        <w:jc w:val="left"/>
      </w:pPr>
      <w:r>
        <w:rPr>
          <w:rFonts w:ascii="Arial" w:cs="Arial" w:eastAsia="Arial" w:hAnsi="Arial"/>
          <w:b w:val="false"/>
          <w:bCs w:val="false"/>
          <w:i w:val="false"/>
          <w:iCs w:val="false"/>
          <w:color w:val="000000"/>
          <w:sz w:val="22"/>
          <w:szCs w:val="22"/>
        </w:rPr>
        <w:t xml:space="preserve">The Hoon programming language's design philosophy — not the language itself — provides the theoretical framework for the formal kernel layer. Four principles extracted and applied to KMP: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Hoon Principle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Literal Form</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KMP/X Application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Battery/Payload Separation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 (battery) cleanly separated from data (payload)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Stable system layer vs. dynamic context — enforced at type level; maximizes KV cache hit rate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 Orientation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computation is a pure function of the subject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 implicit mutation; all state transitions pure and auditable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Computation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computations terminate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hung coroutines in safety-critical paths; evacuation algorithms provably terminate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Minimal Kernel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lines of spec; all else derived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primitives from which all business logic derives; small enough to formally verify completely</w:t>
            </w:r>
          </w:p>
        </w:tc>
      </w:tr>
    </w:tbl>
    <w:p>
      <w:r>
        <w:br w:type="page"/>
      </w:r>
    </w:p>
    <w:p>
      <w:pPr>
        <w:pStyle w:val="Heading1"/>
      </w:pPr>
      <w:r>
        <w:rPr>
          <w:rFonts w:ascii="Arial" w:cs="Arial" w:eastAsia="Arial" w:hAnsi="Arial"/>
          <w:b/>
          <w:bCs/>
          <w:color w:val="1F4E79"/>
          <w:sz w:val="36"/>
          <w:szCs w:val="36"/>
        </w:rPr>
        <w:t xml:space="preserve">Enterprise-by-Enterprise Analysis</w:t>
      </w:r>
    </w:p>
    <w:p>
      <w:pPr>
        <w:spacing w:before="120" w:after="120"/>
        <w:jc w:val="left"/>
      </w:pPr>
      <w:r>
        <w:rPr>
          <w:rFonts w:ascii="Arial" w:cs="Arial" w:eastAsia="Arial" w:hAnsi="Arial"/>
          <w:b w:val="false"/>
          <w:bCs w:val="false"/>
          <w:i w:val="false"/>
          <w:iCs w:val="false"/>
          <w:color w:val="000000"/>
          <w:sz w:val="22"/>
          <w:szCs w:val="22"/>
        </w:rPr>
        <w:t xml:space="preserve">Each enterprise was analyzed independently across domain-specific failure modes, then consolidated. The following table summarizes annual recurring value by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Recurring Value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Value Drivers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X (Twitter)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$2.13B – $7.53B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bloat churn, mobile web performance, Grok cache efficiency, hydration latency, advertiser trust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Starlink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$426M – $1.4B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Bandwidth efficiency, enterprise SDK, Direct-to-Cell/X integration, satellite edge compute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Neuralink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$719M – $3.4B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FDA SaMD certification timeline, neural data breach prevention, real-time signal processing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SpaceX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$750M – $3.75B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Dragon UI safety, Starship ground ops, constellation collision avoidance, DoD ITAR compliance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Grok / xAI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$2.16B – $19.23B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KV cache efficiency at model scale ($1.68B–$16.8B), streaming UX, API differentiation, Colossus management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Tesla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$1.64B – $6.79B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FSD certification, Tesla Energy grid compliance, Supercharger reliability, Optimus safety, MES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The Boring Company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$1.5B – $6.75B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Vegas Loop reliability, municipal contract pipeline, emergency management, permitting acceleration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DOGE / Federal Government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$379B – $1.41T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IRS tax gap recovery, SSA/VA modernization, DoD ITAR/audit, federal improper payments, SolarWinds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Cross-Enterprise Collaboration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$2.42B – $19.06B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Shared engineering labor, unified security, compliance amortization, data pipelines, platform licensing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Global Customers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$22.2B – $71.5B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Localization markets, global payments, 3G/2G connectivity, regulatory diversity, cultural UX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Trump Administration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$170.5B – $705B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Deregulation tooling, immigration systems, energy permitting, military readiness, tax implementation</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$582.5B – $2.26T/yr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Across 16 analytical surfaces, 5 STEM disciplines, 3 regulatory frameworks</w:t>
            </w:r>
          </w:p>
        </w:tc>
      </w:tr>
    </w:tbl>
    <w:p>
      <w:r>
        <w:br w:type="page"/>
      </w:r>
    </w:p>
    <w:p>
      <w:pPr>
        <w:pStyle w:val="Heading1"/>
      </w:pPr>
      <w:r>
        <w:rPr>
          <w:rFonts w:ascii="Arial" w:cs="Arial" w:eastAsia="Arial" w:hAnsi="Arial"/>
          <w:b/>
          <w:bCs/>
          <w:color w:val="1F4E79"/>
          <w:sz w:val="36"/>
          <w:szCs w:val="36"/>
        </w:rPr>
        <w:t xml:space="preserve">10-Year NPV Summary</w:t>
      </w:r>
    </w:p>
    <w:p>
      <w:pPr>
        <w:spacing w:before="120" w:after="120"/>
        <w:jc w:val="left"/>
      </w:pPr>
      <w:r>
        <w:rPr>
          <w:rFonts w:ascii="Arial" w:cs="Arial" w:eastAsia="Arial" w:hAnsi="Arial"/>
          <w:b w:val="false"/>
          <w:bCs w:val="false"/>
          <w:i w:val="false"/>
          <w:iCs w:val="false"/>
          <w:color w:val="000000"/>
          <w:sz w:val="22"/>
          <w:szCs w:val="22"/>
        </w:rPr>
        <w:t xml:space="preserve">All figures use an 8% discount rate applied to annual recurring value ranges. One-time value events (equity creation, IPO pricing improvement, acquisition discount removal) are additive.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20"/>
        <w:gridCol w:w="2120"/>
        <w:gridCol w:w="212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Value</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Recurring NPV</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(incl. one-time)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Conservative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$582.5B/yr</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$3.915T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$3.92T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Moderate</w:t>
            </w:r>
          </w:p>
        </w:tc>
        <w:tc>
          <w:tcPr>
            <w:tcW w:type="dxa" w:w="2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~$1.45T/yr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$9.80T</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$9.81T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Aggressive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~$2.26T/yr</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$15.20T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$15.22T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Migration Cost</w:t>
            </w:r>
          </w:p>
        </w:tc>
        <w:tc>
          <w:tcPr>
            <w:tcW w:type="dxa" w:w="2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One-time</w:t>
            </w:r>
          </w:p>
        </w:tc>
        <w:tc>
          <w:tcPr>
            <w:tcW w:type="dxa" w:w="4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$5.2M – $10.2M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Break-Even (Moderate)</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Post-cutover</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BC9C"/>
                <w:sz w:val="20"/>
                <w:szCs w:val="20"/>
              </w:rPr>
              <w:t xml:space="preserve">~1.9 Days</w:t>
            </w:r>
          </w:p>
        </w:tc>
      </w:tr>
    </w:tbl>
    <w:p>
      <w:r>
        <w:rPr>
          <w:sz w:val="20"/>
          <w:szCs w:val="20"/>
        </w:rPr>
        <w:t xml:space="preserve"/>
      </w:r>
    </w:p>
    <w:p>
      <w:pPr>
        <w:pStyle w:val="Heading2"/>
      </w:pPr>
      <w:r>
        <w:rPr>
          <w:rFonts w:ascii="Arial" w:cs="Arial" w:eastAsia="Arial" w:hAnsi="Arial"/>
          <w:b/>
          <w:bCs/>
          <w:color w:val="2E75B6"/>
          <w:sz w:val="28"/>
          <w:szCs w:val="28"/>
        </w:rPr>
        <w:t xml:space="preserve">Methodological Anchors</w:t>
      </w:r>
    </w:p>
    <w:p>
      <w:pPr>
        <w:pStyle w:val="ListParagraph"/>
        <w:numPr>
          <w:ilvl w:val="0"/>
          <w:numId w:val="2"/>
        </w:numPr>
        <w:spacing w:before="60" w:after="60"/>
      </w:pPr>
      <w:r>
        <w:rPr>
          <w:rFonts w:ascii="Arial" w:cs="Arial" w:eastAsia="Arial" w:hAnsi="Arial"/>
          <w:b w:val="false"/>
          <w:bCs w:val="false"/>
          <w:sz w:val="20"/>
          <w:szCs w:val="20"/>
        </w:rPr>
        <w:t xml:space="preserve">Federal improper payment figures grounded in GAO documented baselines</w:t>
      </w:r>
    </w:p>
    <w:p>
      <w:pPr>
        <w:pStyle w:val="ListParagraph"/>
        <w:numPr>
          <w:ilvl w:val="0"/>
          <w:numId w:val="2"/>
        </w:numPr>
        <w:spacing w:before="60" w:after="60"/>
      </w:pPr>
      <w:r>
        <w:rPr>
          <w:rFonts w:ascii="Arial" w:cs="Arial" w:eastAsia="Arial" w:hAnsi="Arial"/>
          <w:b w:val="false"/>
          <w:bCs w:val="false"/>
          <w:sz w:val="20"/>
          <w:szCs w:val="20"/>
        </w:rPr>
        <w:t xml:space="preserve">Inference economics derived from published token pricing benchmarks</w:t>
      </w:r>
    </w:p>
    <w:p>
      <w:pPr>
        <w:pStyle w:val="ListParagraph"/>
        <w:numPr>
          <w:ilvl w:val="0"/>
          <w:numId w:val="2"/>
        </w:numPr>
        <w:spacing w:before="60" w:after="60"/>
      </w:pPr>
      <w:r>
        <w:rPr>
          <w:rFonts w:ascii="Arial" w:cs="Arial" w:eastAsia="Arial" w:hAnsi="Arial"/>
          <w:b w:val="false"/>
          <w:bCs w:val="false"/>
          <w:sz w:val="20"/>
          <w:szCs w:val="20"/>
        </w:rPr>
        <w:t xml:space="preserve">Confidence intervals explicitly flagged; no additional conservatism applied beyond stated ranges</w:t>
      </w:r>
    </w:p>
    <w:p>
      <w:pPr>
        <w:pStyle w:val="ListParagraph"/>
        <w:numPr>
          <w:ilvl w:val="0"/>
          <w:numId w:val="2"/>
        </w:numPr>
        <w:spacing w:before="60" w:after="60"/>
      </w:pPr>
      <w:r>
        <w:rPr>
          <w:rFonts w:ascii="Arial" w:cs="Arial" w:eastAsia="Arial" w:hAnsi="Arial"/>
          <w:b w:val="false"/>
          <w:bCs w:val="false"/>
          <w:sz w:val="20"/>
          <w:szCs w:val="20"/>
        </w:rPr>
        <w:t xml:space="preserve">HCI failure taxonomy grounded in published literature: Norman (1988), Pirolli &amp; Card (1999), Fogg (2009), Nielsen (1994), Sweller (1988)</w:t>
      </w:r>
    </w:p>
    <w:p>
      <w:pPr>
        <w:pStyle w:val="ListParagraph"/>
        <w:numPr>
          <w:ilvl w:val="0"/>
          <w:numId w:val="2"/>
        </w:numPr>
        <w:spacing w:before="60" w:after="60"/>
      </w:pPr>
      <w:r>
        <w:rPr>
          <w:rFonts w:ascii="Arial" w:cs="Arial" w:eastAsia="Arial" w:hAnsi="Arial"/>
          <w:b w:val="false"/>
          <w:bCs w:val="false"/>
          <w:sz w:val="20"/>
          <w:szCs w:val="20"/>
        </w:rPr>
        <w:t xml:space="preserve">Regulatory standards cited: ISO 26262, IEC 62304, DO-178C, NERC CIP, PCI-DSS, GDPR/DMA, ITAR</w:t>
      </w:r>
    </w:p>
    <w:p>
      <w:r>
        <w:br w:type="page"/>
      </w:r>
    </w:p>
    <w:p>
      <w:pPr>
        <w:pStyle w:val="Heading1"/>
      </w:pPr>
      <w:r>
        <w:rPr>
          <w:rFonts w:ascii="Arial" w:cs="Arial" w:eastAsia="Arial" w:hAnsi="Arial"/>
          <w:b/>
          <w:bCs/>
          <w:color w:val="1F4E79"/>
          <w:sz w:val="36"/>
          <w:szCs w:val="36"/>
        </w:rPr>
        <w:t xml:space="preserve">Implementation Proposal</w:t>
      </w:r>
    </w:p>
    <w:p>
      <w:pPr>
        <w:pStyle w:val="Heading2"/>
      </w:pPr>
      <w:r>
        <w:rPr>
          <w:rFonts w:ascii="Arial" w:cs="Arial" w:eastAsia="Arial" w:hAnsi="Arial"/>
          <w:b/>
          <w:bCs/>
          <w:color w:val="2E75B6"/>
          <w:sz w:val="28"/>
          <w:szCs w:val="28"/>
        </w:rPr>
        <w:t xml:space="preserve">The 3-Month Parallel Build (Strangler Fig Pattern)</w:t>
      </w:r>
    </w:p>
    <w:p>
      <w:pPr>
        <w:spacing w:before="120" w:after="120"/>
        <w:jc w:val="left"/>
      </w:pPr>
      <w:r>
        <w:rPr>
          <w:rFonts w:ascii="Arial" w:cs="Arial" w:eastAsia="Arial" w:hAnsi="Arial"/>
          <w:b w:val="false"/>
          <w:bCs w:val="false"/>
          <w:i w:val="false"/>
          <w:iCs w:val="false"/>
          <w:color w:val="000000"/>
          <w:sz w:val="22"/>
          <w:szCs w:val="22"/>
        </w:rPr>
        <w:t xml:space="preserve">The Strangler Fig pattern (Fowler, 2004) builds the new system in parallel with the existing one. The legacy system continues operating at full capacity until the new system is proven at scale, then a feature-flag toggle completes the cutover. Zero downtime. Full rollback capability at any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64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 Foundation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Weeks 1–3</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flag infrastructure; KMP project skeleton; battery/payload type hierarchy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BC9C"/>
                <w:sz w:val="20"/>
                <w:szCs w:val="20"/>
              </w:rPr>
              <w:t xml:space="preserve">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 Core Build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Weeks 4–8</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Feed, auth, notifications, payments, Grok integration via KMP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 Validation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Weeks 9–10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10% user cohort on KMP; automated rollback on Core Web Vitals regression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BC9C"/>
                <w:sz w:val="20"/>
                <w:szCs w:val="20"/>
              </w:rPr>
              <w:t xml:space="preserve">Low-Medium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 Cutover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Weeks 11–12</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 50% → 100% via feature flags; full monitoring active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BC9C"/>
                <w:sz w:val="20"/>
                <w:szCs w:val="20"/>
              </w:rPr>
              <w:t xml:space="preserve">Low (rollback available)</w:t>
            </w:r>
          </w:p>
        </w:tc>
      </w:tr>
    </w:tbl>
    <w:p>
      <w:r>
        <w:rPr>
          <w:sz w:val="20"/>
          <w:szCs w:val="20"/>
        </w:rPr>
        <w:t xml:space="preserve"/>
      </w:r>
    </w:p>
    <w:p>
      <w:pPr>
        <w:pStyle w:val="Heading2"/>
      </w:pPr>
      <w:r>
        <w:rPr>
          <w:rFonts w:ascii="Arial" w:cs="Arial" w:eastAsia="Arial" w:hAnsi="Arial"/>
          <w:b/>
          <w:bCs/>
          <w:color w:val="2E75B6"/>
          <w:sz w:val="28"/>
          <w:szCs w:val="28"/>
        </w:rPr>
        <w:t xml:space="preserve">Realistic 3-Month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KMP shared business logic layer (feed, auth, notifications)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BC9C"/>
                <w:sz w:val="20"/>
                <w:szCs w:val="20"/>
              </w:rPr>
              <w:t xml:space="preserve">✅ Achievable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KMP's primary strength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Compose Multiplatform mobile (Android + iOS)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BC9C"/>
                <w:sz w:val="20"/>
                <w:szCs w:val="20"/>
              </w:rPr>
              <w:t xml:space="preserve">✅ Achievable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JetBrains tooling mature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Storage eviction / cache management refactor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BC9C"/>
                <w:sz w:val="20"/>
                <w:szCs w:val="20"/>
              </w:rPr>
              <w:t xml:space="preserve">✅ Fast win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Highest ROI per eng hour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flag / toggle infrastructure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BC9C"/>
                <w:sz w:val="20"/>
                <w:szCs w:val="20"/>
              </w:rPr>
              <w:t xml:space="preserve">✅ Achievable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week 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Compose for Web/Wasm (mobile web)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 Partial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Accessibility tooling maturing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feature parity (Spaces, E2E DMs)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 6-month follow-on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complexity; not week 12</w:t>
            </w:r>
          </w:p>
        </w:tc>
      </w:tr>
    </w:tbl>
    <w:p>
      <w:r>
        <w:br w:type="page"/>
      </w:r>
    </w:p>
    <w:p>
      <w:pPr>
        <w:pStyle w:val="Heading1"/>
      </w:pPr>
      <w:r>
        <w:rPr>
          <w:rFonts w:ascii="Arial" w:cs="Arial" w:eastAsia="Arial" w:hAnsi="Arial"/>
          <w:b/>
          <w:bCs/>
          <w:color w:val="1F4E79"/>
          <w:sz w:val="36"/>
          <w:szCs w:val="36"/>
        </w:rPr>
        <w:t xml:space="preserve">The Non-Financial Argument</w:t>
      </w:r>
    </w:p>
    <w:p>
      <w:pPr>
        <w:spacing w:before="120" w:after="120"/>
        <w:jc w:val="left"/>
      </w:pPr>
      <w:r>
        <w:rPr>
          <w:rFonts w:ascii="Arial" w:cs="Arial" w:eastAsia="Arial" w:hAnsi="Arial"/>
          <w:b w:val="false"/>
          <w:bCs w:val="false"/>
          <w:i w:val="false"/>
          <w:iCs w:val="false"/>
          <w:color w:val="000000"/>
          <w:sz w:val="22"/>
          <w:szCs w:val="22"/>
        </w:rPr>
        <w:t xml:space="preserve">Across multiple enterprise surfaces, the architectural argument transcends financial optimization. The following failure modes are not performance tradeoffs — they are ethical and regulatory disqualifications: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React Failure Mode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Human Consequence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Neuralink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GC pauses; non-deterministic execution; runtime type erasure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Patient safety in BCI applications; regulatory disqualification under IEC 62304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Dragon (SpaceX)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CLS on safety-critical touchscreen; GC pauses during abort sequences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Crew safety during reentry and emergency procedures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Tesla Optimus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Non-deterministic execution controlling physical actuators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 safety in factory and home environments; ISO 10218 disqualification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Boring Company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Unverifiable evacuation sequencing; underground RF degradation handling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Passenger safety in sealed tunnel emergencies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 / Federal Benefits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Claims processing failures; mental health benefit access delays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Veteran welfare; documented mortality correlates with benefit access delays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Federal Cybersecurity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npm supply chain (SolarWinds-class attack surface) across all federal React deployments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security; 18,000+ organizations compromised in SolarWinds precedent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00"/>
              <w:left w:type="dxa" w:w="300"/>
              <w:bottom w:type="dxa" w:w="200"/>
              <w:right w:type="dxa" w:w="300"/>
            </w:tcMar>
          </w:tcPr>
          <w:p>
            <w:pPr>
              <w:spacing w:before="60" w:after="60"/>
              <w:jc w:val="center"/>
            </w:pPr>
            <w:r>
              <w:rPr>
                <w:rFonts w:ascii="Arial" w:cs="Arial" w:eastAsia="Arial" w:hAnsi="Arial"/>
                <w:b/>
                <w:bCs/>
                <w:color w:val="1F4E79"/>
                <w:sz w:val="26"/>
                <w:szCs w:val="26"/>
              </w:rPr>
              <w:t xml:space="preserve">Architecture is not an engineering decision.</w:t>
            </w:r>
          </w:p>
          <w:p>
            <w:pPr>
              <w:spacing w:before="60" w:after="60"/>
              <w:jc w:val="center"/>
            </w:pPr>
            <w:r>
              <w:rPr>
                <w:rFonts w:ascii="Arial" w:cs="Arial" w:eastAsia="Arial" w:hAnsi="Arial"/>
                <w:i/>
                <w:iCs/>
                <w:color w:val="333333"/>
                <w:sz w:val="22"/>
                <w:szCs w:val="22"/>
              </w:rPr>
              <w:t xml:space="preserve">It is a governance decision with constitutional, medical, and safety implications.</w:t>
            </w:r>
          </w:p>
        </w:tc>
      </w:tr>
    </w:tbl>
    <w:p>
      <w:r>
        <w:br w:type="page"/>
      </w:r>
    </w:p>
    <w:p>
      <w:pPr>
        <w:pStyle w:val="Heading1"/>
      </w:pPr>
      <w:r>
        <w:rPr>
          <w:rFonts w:ascii="Arial" w:cs="Arial" w:eastAsia="Arial" w:hAnsi="Arial"/>
          <w:b/>
          <w:bCs/>
          <w:color w:val="1F4E79"/>
          <w:sz w:val="36"/>
          <w:szCs w:val="36"/>
        </w:rPr>
        <w:t xml:space="preserve">Engagement Terms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12" w:space="0"/>
              <w:left w:val="single" w:color="CCCCCC" w:sz="1"/>
              <w:bottom w:val="single" w:color="CCCCCC" w:sz="1"/>
              <w:right w:val="single" w:color="CCCCCC" w:sz="1"/>
            </w:tcBorders>
            <w:shd w:fill="F5F5F5" w:val="clear"/>
            <w:tcMar>
              <w:top w:type="dxa" w:w="200"/>
              <w:left w:type="dxa" w:w="300"/>
              <w:bottom w:type="dxa" w:w="200"/>
              <w:right w:type="dxa" w:w="300"/>
            </w:tcMar>
          </w:tcPr>
          <w:p>
            <w:pPr>
              <w:spacing w:before="60" w:after="120"/>
            </w:pPr>
            <w:r>
              <w:rPr>
                <w:rFonts w:ascii="Arial" w:cs="Arial" w:eastAsia="Arial" w:hAnsi="Arial"/>
                <w:b/>
                <w:bCs/>
                <w:color w:val="1F4E79"/>
                <w:sz w:val="24"/>
                <w:szCs w:val="24"/>
              </w:rPr>
              <w:t xml:space="preserve">Intellectual Property Statement</w:t>
            </w:r>
          </w:p>
          <w:p>
            <w:pPr>
              <w:spacing w:before="60" w:after="60"/>
            </w:pPr>
            <w:r>
              <w:rPr>
                <w:rFonts w:ascii="Arial" w:cs="Arial" w:eastAsia="Arial" w:hAnsi="Arial"/>
                <w:sz w:val="20"/>
                <w:szCs w:val="20"/>
              </w:rPr>
              <w:t xml:space="preserve">This analysis was originated, developed, and is owned by its author. It is shared for evaluation purposes only. The originator retains full intellectual ownership of the cross-enterprise thesis, the implementation methodology, and all analytical frameworks presented herein.</w:t>
            </w:r>
          </w:p>
          <w:p>
            <w:pPr>
              <w:spacing w:before="60" w:after="60"/>
            </w:pPr>
            <w:r>
              <w:rPr>
                <w:rFonts w:ascii="Arial" w:cs="Arial" w:eastAsia="Arial" w:hAnsi="Arial"/>
                <w:sz w:val="20"/>
                <w:szCs w:val="20"/>
              </w:rPr>
              <w:t xml:space="preserve">This document is not a donation of intellectual property. It is a proposal for a compensated engagement. The originator is available for hire as Program Originator and Implementation Lead to execute the migration described.</w:t>
            </w:r>
          </w:p>
        </w:tc>
      </w:tr>
    </w:tbl>
    <w:p>
      <w:r>
        <w:rPr>
          <w:sz w:val="20"/>
          <w:szCs w:val="20"/>
        </w:rPr>
        <w:t xml:space="preserve"/>
      </w:r>
    </w:p>
    <w:p>
      <w:pPr>
        <w:pStyle w:val="Heading2"/>
      </w:pPr>
      <w:r>
        <w:rPr>
          <w:rFonts w:ascii="Arial" w:cs="Arial" w:eastAsia="Arial" w:hAnsi="Arial"/>
          <w:b/>
          <w:bCs/>
          <w:color w:val="2E75B6"/>
          <w:sz w:val="28"/>
          <w:szCs w:val="28"/>
        </w:rPr>
        <w:t xml:space="preserve">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Program Originator &amp; Implementation Lead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Background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Senior UX Researcher; HCDE background; cross-domain systems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Proposed Engagement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3-month parallel build sprint as initial engagement; multi-enterprise program lead as follow-on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Availability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Immediate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Compensation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 be discussed upon expression of interest. Compensation expectations reflect standard market rates for transformation programs at this value scale.</w:t>
            </w:r>
          </w:p>
        </w:tc>
      </w:tr>
    </w:tbl>
    <w:p>
      <w:r>
        <w:rPr>
          <w:sz w:val="20"/>
          <w:szCs w:val="20"/>
        </w:rPr>
        <w:t xml:space="preserve"/>
      </w:r>
    </w:p>
    <w:p>
      <w:pPr>
        <w:pStyle w:val="Heading2"/>
      </w:pPr>
      <w:r>
        <w:rPr>
          <w:rFonts w:ascii="Arial" w:cs="Arial" w:eastAsia="Arial" w:hAnsi="Arial"/>
          <w:b/>
          <w:bCs/>
          <w:color w:val="2E75B6"/>
          <w:sz w:val="28"/>
          <w:szCs w:val="28"/>
        </w:rPr>
        <w:t xml:space="preserve">The Single Most Important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400"/>
              <w:bottom w:type="dxa" w:w="300"/>
              <w:right w:type="dxa" w:w="400"/>
            </w:tcMar>
          </w:tcPr>
          <w:p>
            <w:pPr>
              <w:spacing w:before="60" w:after="60"/>
              <w:jc w:val="center"/>
            </w:pPr>
            <w:r>
              <w:rPr>
                <w:rFonts w:ascii="Arial" w:cs="Arial" w:eastAsia="Arial" w:hAnsi="Arial"/>
                <w:b/>
                <w:bCs/>
                <w:color w:val="FFFFFF"/>
                <w:sz w:val="26"/>
                <w:szCs w:val="26"/>
              </w:rPr>
              <w:t xml:space="preserve">The migration costs $5.2M – $10.2M.</w:t>
            </w:r>
          </w:p>
          <w:p>
            <w:pPr>
              <w:spacing w:before="60" w:after="60"/>
              <w:jc w:val="center"/>
            </w:pPr>
            <w:r>
              <w:rPr>
                <w:rFonts w:ascii="Arial" w:cs="Arial" w:eastAsia="Arial" w:hAnsi="Arial"/>
                <w:b/>
                <w:bCs/>
                <w:color w:val="FFFFFF"/>
                <w:sz w:val="26"/>
                <w:szCs w:val="26"/>
              </w:rPr>
              <w:t xml:space="preserve">The conservative 10-year return is $3.92 trillion.</w:t>
            </w:r>
          </w:p>
          <w:p>
            <w:pPr>
              <w:spacing w:before="60" w:after="60"/>
              <w:jc w:val="center"/>
            </w:pPr>
            <w:r>
              <w:rPr>
                <w:rFonts w:ascii="Arial" w:cs="Arial" w:eastAsia="Arial" w:hAnsi="Arial"/>
                <w:i/>
                <w:iCs/>
                <w:color w:val="CCCCCC"/>
                <w:sz w:val="22"/>
                <w:szCs w:val="22"/>
              </w:rPr>
              <w:t xml:space="preserve">That is 0.0003% of the value recovered.</w:t>
            </w:r>
          </w:p>
          <w:p>
            <w:pPr>
              <w:spacing w:before="60" w:after="60"/>
              <w:jc w:val="center"/>
            </w:pPr>
            <w:r>
              <w:rPr>
                <w:rFonts w:ascii="Arial" w:cs="Arial" w:eastAsia="Arial" w:hAnsi="Arial"/>
                <w:i/>
                <w:iCs/>
                <w:color w:val="CCCCCC"/>
                <w:sz w:val="22"/>
                <w:szCs w:val="22"/>
              </w:rPr>
              <w:t xml:space="preserve">The program pays for itself in approximately 1.9 days post-cutover.</w:t>
            </w:r>
          </w:p>
        </w:tc>
      </w:tr>
    </w:tbl>
    <w:p>
      <w:r>
        <w:rPr>
          <w:sz w:val="20"/>
          <w:szCs w:val="20"/>
        </w:rPr>
        <w:t xml:space="preserve"/>
      </w:r>
    </w:p>
    <w:p>
      <w:r>
        <w:rPr>
          <w:sz w:val="20"/>
          <w:szCs w:val="20"/>
        </w:rPr>
        <w:t xml:space="preserve"/>
      </w:r>
    </w:p>
    <w:p>
      <w:pPr>
        <w:spacing w:before="120" w:after="60"/>
        <w:jc w:val="center"/>
      </w:pPr>
      <w:r>
        <w:rPr>
          <w:rFonts w:ascii="Arial" w:cs="Arial" w:eastAsia="Arial" w:hAnsi="Arial"/>
          <w:i/>
          <w:iCs/>
          <w:color w:val="888888"/>
          <w:sz w:val="18"/>
          <w:szCs w:val="18"/>
        </w:rPr>
        <w:t xml:space="preserve">Prepared February 2026</w:t>
      </w:r>
    </w:p>
    <w:p>
      <w:pPr>
        <w:spacing w:before="0" w:after="0"/>
        <w:jc w:val="center"/>
      </w:pPr>
      <w:r>
        <w:rPr>
          <w:rFonts w:ascii="Arial" w:cs="Arial" w:eastAsia="Arial" w:hAnsi="Arial"/>
          <w:b/>
          <w:bCs/>
          <w:color w:val="888888"/>
          <w:sz w:val="18"/>
          <w:szCs w:val="18"/>
        </w:rPr>
        <w:t xml:space="preserve">CONFIDENTIAL — FOR EVALUATION PURPOSES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888888"/>
        <w:sz w:val="18"/>
        <w:szCs w:val="18"/>
      </w:rPr>
      <w:t xml:space="preserve">React → Kotlin/KMP Migration: Cross-Enterprise Value Analysis</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b/>
        <w:bCs/>
        <w:color w:val="888888"/>
        <w:sz w:val="18"/>
        <w:szCs w:val="18"/>
      </w:rPr>
      <w:t xml:space="preserve">CONFIDENTIAL — FOR EVALUATION PURPOSES ONLY</w:t>
    </w:r>
    <w:r>
      <w:rPr>
        <w:rFonts w:ascii="Arial" w:cs="Arial" w:eastAsia="Arial" w:hAnsi="Arial"/>
        <w:sz w:val="18"/>
        <w:szCs w:val="18"/>
      </w:rPr>
      <w:t xml:space="preserve">	</w:t>
    </w:r>
    <w:r>
      <w:rPr>
        <w:rFonts w:ascii="Arial" w:cs="Arial" w:eastAsia="Arial" w:hAnsi="Arial"/>
        <w:color w:val="888888"/>
        <w:sz w:val="18"/>
        <w:szCs w:val="18"/>
      </w:rPr>
      <w:t xml:space="preserve">Proprietary Analysis | Program Originator &amp; Implementation Lead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2026-03-01T02:54:50.409Z</dcterms:created>
  <dcterms:modified xsi:type="dcterms:W3CDTF">2026-03-01T02:54:50.410Z</dcterms:modified>
</cp:coreProperties>
</file>

<file path=docProps/custom.xml><?xml version="1.0" encoding="utf-8"?>
<Properties xmlns="http://schemas.openxmlformats.org/officeDocument/2006/custom-properties" xmlns:vt="http://schemas.openxmlformats.org/officeDocument/2006/docPropsVTypes"/>
</file>